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56D" w:rsidRPr="001A456D" w:rsidRDefault="000D5FF3" w:rsidP="001A456D">
      <w:pPr>
        <w:rPr>
          <w:rFonts w:ascii="Arial" w:hAnsi="Arial" w:cs="Arial"/>
          <w:b/>
          <w:bCs/>
          <w:sz w:val="22"/>
          <w:lang w:val="en-GB"/>
        </w:rPr>
      </w:pPr>
      <w:r>
        <w:rPr>
          <w:rFonts w:ascii="Arial" w:hAnsi="Arial" w:cs="Arial"/>
          <w:b/>
          <w:bCs/>
          <w:sz w:val="22"/>
          <w:lang w:val="en-GB"/>
        </w:rPr>
        <w:t>3GPP TSG RAN WG1 Meeting #86</w:t>
      </w:r>
      <w:r w:rsidR="00DF219B">
        <w:rPr>
          <w:rFonts w:ascii="Arial" w:hAnsi="Arial" w:cs="Arial"/>
          <w:b/>
          <w:bCs/>
          <w:sz w:val="22"/>
          <w:lang w:val="en-GB"/>
        </w:rPr>
        <w:t>b</w:t>
      </w:r>
      <w:r w:rsidR="002A7F70">
        <w:rPr>
          <w:rFonts w:ascii="Arial" w:hAnsi="Arial" w:cs="Arial"/>
          <w:b/>
          <w:bCs/>
          <w:sz w:val="22"/>
          <w:lang w:val="en-GB"/>
        </w:rPr>
        <w:t>is</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991963">
        <w:rPr>
          <w:rFonts w:ascii="Arial" w:hAnsi="Arial" w:cs="Arial"/>
          <w:b/>
          <w:bCs/>
          <w:sz w:val="22"/>
          <w:lang w:val="en-GB"/>
        </w:rPr>
        <w:tab/>
      </w:r>
      <w:r w:rsidR="00991963">
        <w:rPr>
          <w:rFonts w:ascii="Arial" w:hAnsi="Arial" w:cs="Arial"/>
          <w:b/>
          <w:bCs/>
          <w:sz w:val="22"/>
          <w:lang w:val="en-GB"/>
        </w:rPr>
        <w:tab/>
      </w:r>
      <w:r w:rsidR="002A7F70">
        <w:rPr>
          <w:rFonts w:ascii="Arial" w:hAnsi="Arial" w:cs="Arial"/>
          <w:b/>
          <w:bCs/>
          <w:sz w:val="22"/>
          <w:lang w:val="en-GB"/>
        </w:rPr>
        <w:t xml:space="preserve">  </w:t>
      </w:r>
      <w:r w:rsidR="001A456D" w:rsidRPr="001A456D">
        <w:rPr>
          <w:rFonts w:ascii="Arial" w:hAnsi="Arial" w:cs="Arial"/>
          <w:b/>
          <w:bCs/>
          <w:sz w:val="22"/>
          <w:lang w:val="en-GB"/>
        </w:rPr>
        <w:t>R1-1608961</w:t>
      </w:r>
    </w:p>
    <w:p w:rsidR="00A569A4" w:rsidRPr="00525CF4" w:rsidRDefault="00DF219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Lisbon</w:t>
      </w:r>
      <w:r w:rsidR="00B87244">
        <w:rPr>
          <w:rFonts w:ascii="Arial" w:hAnsi="Arial" w:cs="Arial"/>
          <w:b/>
          <w:bCs/>
          <w:sz w:val="22"/>
          <w:lang w:val="en-GB"/>
        </w:rPr>
        <w:t xml:space="preserve">, </w:t>
      </w:r>
      <w:r>
        <w:rPr>
          <w:rFonts w:ascii="Arial" w:hAnsi="Arial" w:cs="Arial"/>
          <w:b/>
          <w:bCs/>
          <w:sz w:val="22"/>
          <w:lang w:val="en-GB"/>
        </w:rPr>
        <w:t>Portugal</w:t>
      </w:r>
      <w:r w:rsidR="00D82A53">
        <w:rPr>
          <w:rFonts w:ascii="Arial" w:hAnsi="Arial" w:cs="Arial"/>
          <w:b/>
          <w:bCs/>
          <w:sz w:val="22"/>
          <w:lang w:val="en-GB"/>
        </w:rPr>
        <w:t xml:space="preserve">, </w:t>
      </w:r>
      <w:r>
        <w:rPr>
          <w:rFonts w:ascii="Arial" w:hAnsi="Arial" w:cs="Arial"/>
          <w:b/>
          <w:bCs/>
          <w:sz w:val="22"/>
          <w:lang w:val="en-GB"/>
        </w:rPr>
        <w:t>10th</w:t>
      </w:r>
      <w:r w:rsidR="00A569A4" w:rsidRPr="00525CF4">
        <w:rPr>
          <w:rFonts w:ascii="Arial" w:hAnsi="Arial" w:cs="Arial"/>
          <w:b/>
          <w:bCs/>
          <w:sz w:val="22"/>
          <w:lang w:val="en-GB"/>
        </w:rPr>
        <w:t xml:space="preserve"> - </w:t>
      </w:r>
      <w:r>
        <w:rPr>
          <w:rFonts w:ascii="Arial" w:hAnsi="Arial" w:cs="Arial"/>
          <w:b/>
          <w:bCs/>
          <w:sz w:val="22"/>
          <w:lang w:val="en-GB"/>
        </w:rPr>
        <w:t>14</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October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E20340">
        <w:rPr>
          <w:rFonts w:ascii="Arial" w:hAnsi="Arial" w:cs="Arial"/>
          <w:b/>
          <w:bCs/>
          <w:sz w:val="22"/>
          <w:lang w:val="en-GB"/>
        </w:rPr>
        <w:t>Reference Numerology for NR</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0E3FBD">
        <w:rPr>
          <w:rFonts w:ascii="Arial" w:hAnsi="Arial" w:cs="Arial"/>
          <w:b/>
          <w:bCs/>
          <w:sz w:val="22"/>
          <w:lang w:val="en-GB"/>
        </w:rPr>
        <w:t>8.1.2</w:t>
      </w:r>
      <w:r w:rsidR="00506DC9">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0E3FBD"/>
    <w:p w:rsidR="000E3FBD" w:rsidRDefault="000E3FBD" w:rsidP="000E3FBD">
      <w:pPr>
        <w:numPr>
          <w:ilvl w:val="0"/>
          <w:numId w:val="1"/>
        </w:numPr>
        <w:ind w:left="357" w:hanging="357"/>
        <w:rPr>
          <w:b/>
          <w:sz w:val="30"/>
          <w:szCs w:val="30"/>
        </w:rPr>
      </w:pPr>
      <w:r>
        <w:rPr>
          <w:b/>
          <w:sz w:val="30"/>
          <w:szCs w:val="30"/>
        </w:rPr>
        <w:t>Introduction</w:t>
      </w:r>
    </w:p>
    <w:p w:rsidR="007B059C" w:rsidRDefault="007B059C" w:rsidP="002A7F70">
      <w:pPr>
        <w:spacing w:line="240" w:lineRule="auto"/>
        <w:jc w:val="both"/>
      </w:pPr>
      <w:r>
        <w:t xml:space="preserve">In RAN1#86, discussions about the reference numerology and sub-frame duration have taken place. This contribution discusses the two cases of </w:t>
      </w:r>
      <w:r w:rsidR="00114D7C">
        <w:t>either having multiple reference numerologies or to use a single one in NR</w:t>
      </w:r>
      <w:r>
        <w:t xml:space="preserve">. </w:t>
      </w:r>
    </w:p>
    <w:p w:rsidR="000E3FBD" w:rsidRPr="00226D96" w:rsidRDefault="000E3FBD" w:rsidP="00226D96">
      <w:pPr>
        <w:numPr>
          <w:ilvl w:val="0"/>
          <w:numId w:val="1"/>
        </w:numPr>
        <w:ind w:left="357" w:hanging="357"/>
        <w:rPr>
          <w:b/>
          <w:sz w:val="30"/>
          <w:szCs w:val="30"/>
        </w:rPr>
      </w:pPr>
      <w:r w:rsidRPr="00226D96">
        <w:rPr>
          <w:b/>
          <w:sz w:val="30"/>
          <w:szCs w:val="30"/>
        </w:rPr>
        <w:t>Discussion</w:t>
      </w:r>
    </w:p>
    <w:p w:rsidR="000A32E0" w:rsidRDefault="000A32E0" w:rsidP="002A7F70">
      <w:pPr>
        <w:spacing w:line="240" w:lineRule="auto"/>
        <w:jc w:val="both"/>
      </w:pPr>
      <w:r>
        <w:t>The sub-frame is used to provide a reference time-duration. This time duration is bas</w:t>
      </w:r>
      <w:r w:rsidR="00226D96">
        <w:t>ed o</w:t>
      </w:r>
      <w:r>
        <w:t xml:space="preserve">n the </w:t>
      </w:r>
      <w:r w:rsidR="00226D96">
        <w:t xml:space="preserve">sub-carrier spacing </w:t>
      </w:r>
      <w:r w:rsidR="005010C2">
        <w:t>of</w:t>
      </w:r>
      <w:r>
        <w:t xml:space="preserve"> the reference numerology</w:t>
      </w:r>
      <w:r w:rsidR="00226D96">
        <w:t xml:space="preserve"> (SCSref)</w:t>
      </w:r>
      <w:r>
        <w:t>.</w:t>
      </w:r>
    </w:p>
    <w:p w:rsidR="00AD5EB6" w:rsidRDefault="00AD5EB6" w:rsidP="00D876F7">
      <w:pPr>
        <w:spacing w:line="240" w:lineRule="auto"/>
      </w:pPr>
    </w:p>
    <w:p w:rsidR="00AD5EB6" w:rsidRDefault="005010C2" w:rsidP="00D876F7">
      <w:pPr>
        <w:spacing w:line="240" w:lineRule="auto"/>
      </w:pPr>
      <w:r>
        <w:t xml:space="preserve">Below, important agreements </w:t>
      </w:r>
      <w:r w:rsidR="00AD5EB6">
        <w:t xml:space="preserve">on the reference numerology </w:t>
      </w:r>
      <w:r>
        <w:t xml:space="preserve">from [1] </w:t>
      </w:r>
      <w:r w:rsidR="00AD5EB6">
        <w:t xml:space="preserve">are recited: </w:t>
      </w:r>
    </w:p>
    <w:tbl>
      <w:tblPr>
        <w:tblStyle w:val="TableGrid"/>
        <w:tblW w:w="0" w:type="auto"/>
        <w:tblLook w:val="04A0"/>
      </w:tblPr>
      <w:tblGrid>
        <w:gridCol w:w="9166"/>
      </w:tblGrid>
      <w:tr w:rsidR="00807778" w:rsidTr="00807778">
        <w:tc>
          <w:tcPr>
            <w:tcW w:w="9166" w:type="dxa"/>
          </w:tcPr>
          <w:p w:rsidR="00807778" w:rsidRPr="00C50F8E" w:rsidRDefault="00AD5EB6" w:rsidP="00807778">
            <w:pPr>
              <w:rPr>
                <w:rFonts w:eastAsia="MS Mincho"/>
                <w:b/>
                <w:u w:val="single"/>
                <w:lang w:eastAsia="ja-JP"/>
              </w:rPr>
            </w:pPr>
            <w:r>
              <w:rPr>
                <w:rFonts w:eastAsia="MS Mincho"/>
                <w:b/>
                <w:highlight w:val="green"/>
                <w:u w:val="single"/>
                <w:lang w:eastAsia="ja-JP"/>
              </w:rPr>
              <w:t>1</w:t>
            </w:r>
            <w:r w:rsidR="00EA622C">
              <w:rPr>
                <w:rFonts w:eastAsia="MS Mincho"/>
                <w:b/>
                <w:highlight w:val="green"/>
                <w:u w:val="single"/>
                <w:lang w:eastAsia="ja-JP"/>
              </w:rPr>
              <w:t xml:space="preserve">) </w:t>
            </w:r>
            <w:r w:rsidR="00807778" w:rsidRPr="006147BA">
              <w:rPr>
                <w:rFonts w:eastAsia="MS Mincho" w:hint="eastAsia"/>
                <w:b/>
                <w:highlight w:val="green"/>
                <w:u w:val="single"/>
                <w:lang w:eastAsia="ja-JP"/>
              </w:rPr>
              <w:t>Agreements:</w:t>
            </w:r>
          </w:p>
          <w:p w:rsidR="00807778" w:rsidRDefault="00807778" w:rsidP="00807778">
            <w:pPr>
              <w:numPr>
                <w:ilvl w:val="0"/>
                <w:numId w:val="32"/>
              </w:numPr>
              <w:adjustRightInd/>
              <w:spacing w:line="240" w:lineRule="auto"/>
              <w:rPr>
                <w:rFonts w:eastAsia="MS Mincho"/>
                <w:lang w:eastAsia="ja-JP"/>
              </w:rPr>
            </w:pPr>
            <w:r w:rsidRPr="00C50F8E">
              <w:rPr>
                <w:rFonts w:eastAsia="MS Mincho"/>
                <w:lang w:eastAsia="ja-JP"/>
              </w:rPr>
              <w:t xml:space="preserve">Subframe duration in ms for a </w:t>
            </w:r>
            <w:r>
              <w:rPr>
                <w:rFonts w:eastAsia="MS Mincho" w:hint="eastAsia"/>
                <w:lang w:eastAsia="ja-JP"/>
              </w:rPr>
              <w:t xml:space="preserve">reference numerology with </w:t>
            </w:r>
            <w:r w:rsidRPr="00C50F8E">
              <w:rPr>
                <w:rFonts w:eastAsia="MS Mincho"/>
                <w:lang w:eastAsia="ja-JP"/>
              </w:rPr>
              <w:t>subcarrier spacing (2</w:t>
            </w:r>
            <w:r w:rsidRPr="00C50F8E">
              <w:rPr>
                <w:rFonts w:eastAsia="MS Mincho"/>
                <w:vertAlign w:val="superscript"/>
                <w:lang w:eastAsia="ja-JP"/>
              </w:rPr>
              <w:t>m</w:t>
            </w:r>
            <w:r w:rsidRPr="00C50F8E">
              <w:rPr>
                <w:rFonts w:eastAsia="MS Mincho"/>
                <w:lang w:eastAsia="ja-JP"/>
              </w:rPr>
              <w:t xml:space="preserve">*15)kHz is exactly </w:t>
            </w:r>
            <w:r>
              <w:rPr>
                <w:rFonts w:eastAsia="MS Mincho" w:hint="eastAsia"/>
                <w:lang w:eastAsia="ja-JP"/>
              </w:rPr>
              <w:t>1/</w:t>
            </w:r>
            <w:r w:rsidRPr="00C50F8E">
              <w:rPr>
                <w:rFonts w:eastAsia="MS Mincho"/>
                <w:lang w:eastAsia="ja-JP"/>
              </w:rPr>
              <w:t>2</w:t>
            </w:r>
            <w:r w:rsidRPr="00C50F8E">
              <w:rPr>
                <w:rFonts w:eastAsia="MS Mincho"/>
                <w:vertAlign w:val="superscript"/>
                <w:lang w:eastAsia="ja-JP"/>
              </w:rPr>
              <w:t>m</w:t>
            </w:r>
            <w:r w:rsidRPr="00C50F8E">
              <w:rPr>
                <w:rFonts w:eastAsia="MS Mincho"/>
                <w:lang w:eastAsia="ja-JP"/>
              </w:rPr>
              <w:t xml:space="preserve"> </w:t>
            </w:r>
            <w:r>
              <w:rPr>
                <w:rFonts w:eastAsia="MS Mincho" w:hint="eastAsia"/>
                <w:lang w:eastAsia="ja-JP"/>
              </w:rPr>
              <w:t>ms</w:t>
            </w:r>
          </w:p>
          <w:p w:rsidR="00807778" w:rsidRPr="00660E26" w:rsidRDefault="00AD5EB6" w:rsidP="00807778">
            <w:pPr>
              <w:rPr>
                <w:rFonts w:eastAsia="MS Mincho"/>
                <w:b/>
                <w:u w:val="single"/>
                <w:lang w:eastAsia="ja-JP"/>
              </w:rPr>
            </w:pPr>
            <w:r>
              <w:rPr>
                <w:rFonts w:eastAsia="MS Mincho"/>
                <w:b/>
                <w:highlight w:val="green"/>
                <w:u w:val="single"/>
                <w:lang w:eastAsia="ja-JP"/>
              </w:rPr>
              <w:t>2</w:t>
            </w:r>
            <w:r w:rsidR="00EA622C">
              <w:rPr>
                <w:rFonts w:eastAsia="MS Mincho"/>
                <w:b/>
                <w:highlight w:val="green"/>
                <w:u w:val="single"/>
                <w:lang w:eastAsia="ja-JP"/>
              </w:rPr>
              <w:t xml:space="preserve">) </w:t>
            </w:r>
            <w:r w:rsidR="00807778" w:rsidRPr="00DF7AC8">
              <w:rPr>
                <w:rFonts w:eastAsia="MS Mincho" w:hint="eastAsia"/>
                <w:b/>
                <w:highlight w:val="green"/>
                <w:u w:val="single"/>
                <w:lang w:eastAsia="ja-JP"/>
              </w:rPr>
              <w:t>Agreements:</w:t>
            </w:r>
          </w:p>
          <w:p w:rsidR="00807778" w:rsidRPr="00DF7AC8" w:rsidRDefault="00807778" w:rsidP="00807778">
            <w:pPr>
              <w:numPr>
                <w:ilvl w:val="0"/>
                <w:numId w:val="33"/>
              </w:numPr>
              <w:adjustRightInd/>
              <w:spacing w:line="240" w:lineRule="auto"/>
              <w:rPr>
                <w:rFonts w:eastAsia="MS Mincho"/>
                <w:lang w:eastAsia="ja-JP"/>
              </w:rPr>
            </w:pPr>
            <w:r w:rsidRPr="00DF7AC8">
              <w:rPr>
                <w:rFonts w:eastAsia="MS Mincho"/>
                <w:lang w:eastAsia="ja-JP"/>
              </w:rPr>
              <w:t xml:space="preserve">A subframe duration is defined by </w:t>
            </w:r>
            <w:r w:rsidRPr="00DF7AC8">
              <w:rPr>
                <w:rFonts w:eastAsia="MS Mincho" w:hint="eastAsia"/>
                <w:lang w:eastAsia="ja-JP"/>
              </w:rPr>
              <w:t xml:space="preserve">the duration of </w:t>
            </w:r>
            <w:r w:rsidRPr="00DF7AC8">
              <w:rPr>
                <w:rFonts w:eastAsia="MS Mincho"/>
                <w:i/>
                <w:iCs/>
                <w:lang w:eastAsia="ja-JP"/>
              </w:rPr>
              <w:t>x</w:t>
            </w:r>
            <w:r w:rsidRPr="00DF7AC8">
              <w:rPr>
                <w:rFonts w:eastAsia="MS Mincho"/>
                <w:lang w:eastAsia="ja-JP"/>
              </w:rPr>
              <w:t xml:space="preserve"> OFDM symbols given </w:t>
            </w:r>
            <w:r w:rsidRPr="00DF7AC8">
              <w:rPr>
                <w:rFonts w:eastAsia="MS Mincho" w:hint="eastAsia"/>
                <w:lang w:eastAsia="ja-JP"/>
              </w:rPr>
              <w:t xml:space="preserve">a reference numerology </w:t>
            </w:r>
          </w:p>
          <w:p w:rsidR="00807778" w:rsidRPr="00DF7AC8" w:rsidRDefault="00807778" w:rsidP="00807778">
            <w:pPr>
              <w:numPr>
                <w:ilvl w:val="1"/>
                <w:numId w:val="33"/>
              </w:numPr>
              <w:adjustRightInd/>
              <w:spacing w:line="240" w:lineRule="auto"/>
              <w:rPr>
                <w:rFonts w:eastAsia="MS Mincho"/>
                <w:lang w:eastAsia="ja-JP"/>
              </w:rPr>
            </w:pPr>
            <w:r w:rsidRPr="00DF7AC8">
              <w:rPr>
                <w:rFonts w:eastAsia="MS Mincho" w:hint="eastAsia"/>
                <w:lang w:eastAsia="ja-JP"/>
              </w:rPr>
              <w:t xml:space="preserve">With the same CP overhead, a single value of </w:t>
            </w:r>
            <w:r w:rsidRPr="00DF7AC8">
              <w:rPr>
                <w:rFonts w:eastAsia="MS Mincho" w:hint="eastAsia"/>
                <w:i/>
                <w:lang w:eastAsia="ja-JP"/>
              </w:rPr>
              <w:t>x</w:t>
            </w:r>
            <w:r w:rsidRPr="00DF7AC8">
              <w:rPr>
                <w:rFonts w:eastAsia="MS Mincho" w:hint="eastAsia"/>
                <w:lang w:eastAsia="ja-JP"/>
              </w:rPr>
              <w:t xml:space="preserve"> is specified irrespective of the </w:t>
            </w:r>
            <w:r w:rsidRPr="00DF7AC8">
              <w:rPr>
                <w:rFonts w:eastAsia="MS Mincho"/>
                <w:lang w:eastAsia="ja-JP"/>
              </w:rPr>
              <w:t>subcarrier</w:t>
            </w:r>
            <w:r w:rsidRPr="00DF7AC8">
              <w:rPr>
                <w:rFonts w:eastAsia="MS Mincho" w:hint="eastAsia"/>
                <w:lang w:eastAsia="ja-JP"/>
              </w:rPr>
              <w:t xml:space="preserve"> spacing value chosen for the reference numerology</w:t>
            </w:r>
          </w:p>
          <w:p w:rsidR="00807778" w:rsidRPr="00DF7AC8" w:rsidRDefault="00807778" w:rsidP="00807778">
            <w:pPr>
              <w:numPr>
                <w:ilvl w:val="1"/>
                <w:numId w:val="33"/>
              </w:numPr>
              <w:adjustRightInd/>
              <w:spacing w:line="240" w:lineRule="auto"/>
              <w:rPr>
                <w:rFonts w:eastAsia="MS Mincho"/>
                <w:lang w:eastAsia="ja-JP"/>
              </w:rPr>
            </w:pPr>
            <w:r w:rsidRPr="00DF7AC8">
              <w:rPr>
                <w:rFonts w:eastAsia="MS Mincho"/>
                <w:lang w:eastAsia="ja-JP"/>
              </w:rPr>
              <w:t xml:space="preserve">This does not preclude multiple </w:t>
            </w:r>
            <w:r w:rsidRPr="00DF7AC8">
              <w:rPr>
                <w:rFonts w:eastAsia="MS Mincho" w:hint="eastAsia"/>
                <w:lang w:eastAsia="ja-JP"/>
              </w:rPr>
              <w:t xml:space="preserve">data transmission </w:t>
            </w:r>
            <w:r w:rsidRPr="00DF7AC8">
              <w:rPr>
                <w:rFonts w:eastAsia="MS Mincho"/>
                <w:lang w:eastAsia="ja-JP"/>
              </w:rPr>
              <w:t xml:space="preserve">opportunities </w:t>
            </w:r>
            <w:r w:rsidRPr="00DF7AC8">
              <w:rPr>
                <w:rFonts w:eastAsia="MS Mincho" w:hint="eastAsia"/>
                <w:lang w:eastAsia="ja-JP"/>
              </w:rPr>
              <w:t xml:space="preserve">in time </w:t>
            </w:r>
            <w:r w:rsidRPr="00DF7AC8">
              <w:rPr>
                <w:rFonts w:eastAsia="MS Mincho"/>
                <w:lang w:eastAsia="ja-JP"/>
              </w:rPr>
              <w:t>within a subframe duration</w:t>
            </w:r>
          </w:p>
          <w:p w:rsidR="00807778" w:rsidRPr="00DF7AC8" w:rsidRDefault="00807778" w:rsidP="00807778">
            <w:pPr>
              <w:numPr>
                <w:ilvl w:val="1"/>
                <w:numId w:val="33"/>
              </w:numPr>
              <w:adjustRightInd/>
              <w:spacing w:line="240" w:lineRule="auto"/>
              <w:rPr>
                <w:rFonts w:eastAsia="MS Mincho"/>
                <w:lang w:eastAsia="ja-JP"/>
              </w:rPr>
            </w:pPr>
            <w:r w:rsidRPr="00DF7AC8">
              <w:rPr>
                <w:rFonts w:eastAsia="MS Mincho" w:hint="eastAsia"/>
                <w:lang w:eastAsia="ja-JP"/>
              </w:rPr>
              <w:t xml:space="preserve">This does not preclude multiple control transmission </w:t>
            </w:r>
            <w:r w:rsidRPr="00DF7AC8">
              <w:rPr>
                <w:rFonts w:eastAsia="MS Mincho"/>
                <w:lang w:eastAsia="ja-JP"/>
              </w:rPr>
              <w:t>opportunities</w:t>
            </w:r>
            <w:r w:rsidRPr="00DF7AC8">
              <w:rPr>
                <w:rFonts w:eastAsia="MS Mincho" w:hint="eastAsia"/>
                <w:lang w:eastAsia="ja-JP"/>
              </w:rPr>
              <w:t xml:space="preserve"> in time for both DL and UL within the subframe duration</w:t>
            </w:r>
          </w:p>
          <w:p w:rsidR="00807778" w:rsidRPr="00DF7AC8" w:rsidRDefault="00807778" w:rsidP="00807778">
            <w:pPr>
              <w:numPr>
                <w:ilvl w:val="1"/>
                <w:numId w:val="33"/>
              </w:numPr>
              <w:adjustRightInd/>
              <w:spacing w:line="240" w:lineRule="auto"/>
              <w:rPr>
                <w:rFonts w:eastAsia="MS Mincho"/>
                <w:lang w:eastAsia="ja-JP"/>
              </w:rPr>
            </w:pPr>
            <w:r w:rsidRPr="00DF7AC8">
              <w:rPr>
                <w:rFonts w:eastAsia="MS Mincho"/>
                <w:lang w:eastAsia="ja-JP"/>
              </w:rPr>
              <w:t xml:space="preserve">This does not preclude one </w:t>
            </w:r>
            <w:r w:rsidRPr="00DF7AC8">
              <w:rPr>
                <w:rFonts w:eastAsia="MS Mincho" w:hint="eastAsia"/>
                <w:lang w:eastAsia="ja-JP"/>
              </w:rPr>
              <w:t>data transmission to span</w:t>
            </w:r>
            <w:r w:rsidRPr="00DF7AC8">
              <w:rPr>
                <w:rFonts w:eastAsia="MS Mincho"/>
                <w:lang w:eastAsia="ja-JP"/>
              </w:rPr>
              <w:t xml:space="preserve"> over multiple subframe durations</w:t>
            </w:r>
          </w:p>
          <w:p w:rsidR="00807778" w:rsidRPr="00DF7AC8" w:rsidRDefault="00807778" w:rsidP="00807778">
            <w:pPr>
              <w:numPr>
                <w:ilvl w:val="0"/>
                <w:numId w:val="33"/>
              </w:numPr>
              <w:adjustRightInd/>
              <w:spacing w:line="240" w:lineRule="auto"/>
              <w:rPr>
                <w:rFonts w:eastAsia="MS Mincho"/>
                <w:lang w:eastAsia="ja-JP"/>
              </w:rPr>
            </w:pPr>
            <w:r w:rsidRPr="00DF7AC8">
              <w:rPr>
                <w:rFonts w:eastAsia="MS Mincho"/>
                <w:lang w:eastAsia="ja-JP"/>
              </w:rPr>
              <w:t xml:space="preserve">A UE </w:t>
            </w:r>
            <w:r w:rsidRPr="00DF7AC8">
              <w:rPr>
                <w:rFonts w:eastAsia="MS Mincho" w:hint="eastAsia"/>
                <w:lang w:eastAsia="ja-JP"/>
              </w:rPr>
              <w:t>ha</w:t>
            </w:r>
            <w:r w:rsidRPr="00DF7AC8">
              <w:rPr>
                <w:rFonts w:eastAsia="MS Mincho"/>
                <w:lang w:eastAsia="ja-JP"/>
              </w:rPr>
              <w:t>s one reference numerology in a given NR carrier which defines subframe duration</w:t>
            </w:r>
            <w:r w:rsidRPr="00DF7AC8">
              <w:rPr>
                <w:rFonts w:eastAsia="MS Mincho" w:hint="eastAsia"/>
                <w:lang w:eastAsia="ja-JP"/>
              </w:rPr>
              <w:t xml:space="preserve"> for the given NR carrier</w:t>
            </w:r>
          </w:p>
          <w:p w:rsidR="00807778" w:rsidRPr="00DF7AC8" w:rsidRDefault="00807778" w:rsidP="00807778">
            <w:pPr>
              <w:numPr>
                <w:ilvl w:val="1"/>
                <w:numId w:val="33"/>
              </w:numPr>
              <w:adjustRightInd/>
              <w:spacing w:line="240" w:lineRule="auto"/>
              <w:rPr>
                <w:rFonts w:eastAsia="MS Mincho"/>
                <w:lang w:eastAsia="ja-JP"/>
              </w:rPr>
            </w:pPr>
            <w:r w:rsidRPr="00DF7AC8">
              <w:rPr>
                <w:rFonts w:eastAsia="MS Mincho" w:hint="eastAsia"/>
                <w:lang w:eastAsia="ja-JP"/>
              </w:rPr>
              <w:t>FFS: In a given NR carrier, whether different UEs may have different reference numerologies or may not</w:t>
            </w:r>
          </w:p>
          <w:p w:rsidR="00807778" w:rsidRPr="00EA622C" w:rsidRDefault="00807778" w:rsidP="00EA622C">
            <w:pPr>
              <w:numPr>
                <w:ilvl w:val="0"/>
                <w:numId w:val="33"/>
              </w:numPr>
              <w:adjustRightInd/>
              <w:spacing w:line="240" w:lineRule="auto"/>
              <w:rPr>
                <w:rFonts w:eastAsia="MS Mincho"/>
                <w:lang w:eastAsia="ja-JP"/>
              </w:rPr>
            </w:pPr>
            <w:r w:rsidRPr="00DF7AC8">
              <w:rPr>
                <w:rFonts w:eastAsia="MS Mincho"/>
                <w:lang w:eastAsia="ja-JP"/>
              </w:rPr>
              <w:t>Specification supports multiplexing numerologies in TDM and/or FDM within/across (a) subframe duration(s)</w:t>
            </w:r>
            <w:r w:rsidRPr="00DF7AC8">
              <w:rPr>
                <w:rFonts w:eastAsia="MS Mincho" w:hint="eastAsia"/>
                <w:lang w:eastAsia="ja-JP"/>
              </w:rPr>
              <w:t xml:space="preserve"> from a UE perspective</w:t>
            </w:r>
          </w:p>
        </w:tc>
      </w:tr>
    </w:tbl>
    <w:p w:rsidR="00807778" w:rsidRDefault="00807778" w:rsidP="00D876F7">
      <w:pPr>
        <w:spacing w:line="240" w:lineRule="auto"/>
      </w:pPr>
    </w:p>
    <w:p w:rsidR="00624BB7" w:rsidRDefault="00624BB7" w:rsidP="00D876F7">
      <w:pPr>
        <w:spacing w:line="240" w:lineRule="auto"/>
      </w:pPr>
      <w:r>
        <w:t>In addition to the above agreements also the following working assumption has been made</w:t>
      </w:r>
      <w:r w:rsidR="00AD5EB6">
        <w:t xml:space="preserve"> [1]</w:t>
      </w:r>
      <w:r>
        <w:t>.</w:t>
      </w:r>
    </w:p>
    <w:tbl>
      <w:tblPr>
        <w:tblStyle w:val="TableGrid"/>
        <w:tblW w:w="0" w:type="auto"/>
        <w:tblLook w:val="04A0"/>
      </w:tblPr>
      <w:tblGrid>
        <w:gridCol w:w="9166"/>
      </w:tblGrid>
      <w:tr w:rsidR="001E6124" w:rsidTr="001E6124">
        <w:tc>
          <w:tcPr>
            <w:tcW w:w="9166" w:type="dxa"/>
          </w:tcPr>
          <w:p w:rsidR="001E6124" w:rsidRPr="00FA239B" w:rsidRDefault="001E6124" w:rsidP="001E6124">
            <w:pPr>
              <w:rPr>
                <w:rFonts w:eastAsia="MS Mincho"/>
                <w:b/>
                <w:u w:val="single"/>
                <w:lang w:eastAsia="ja-JP"/>
              </w:rPr>
            </w:pPr>
            <w:r w:rsidRPr="006147BA">
              <w:rPr>
                <w:rFonts w:eastAsia="MS Mincho" w:hint="eastAsia"/>
                <w:b/>
                <w:highlight w:val="darkYellow"/>
                <w:u w:val="single"/>
                <w:lang w:eastAsia="ja-JP"/>
              </w:rPr>
              <w:t>Working assumption:</w:t>
            </w:r>
          </w:p>
          <w:p w:rsidR="001E6124" w:rsidRPr="00C50F8E" w:rsidRDefault="001E6124" w:rsidP="001E6124">
            <w:pPr>
              <w:numPr>
                <w:ilvl w:val="0"/>
                <w:numId w:val="32"/>
              </w:numPr>
              <w:adjustRightInd/>
              <w:spacing w:line="240" w:lineRule="auto"/>
              <w:rPr>
                <w:rFonts w:eastAsia="MS Mincho"/>
                <w:lang w:eastAsia="ja-JP"/>
              </w:rPr>
            </w:pPr>
            <w:r w:rsidRPr="00C50F8E">
              <w:rPr>
                <w:rFonts w:eastAsia="MS Mincho"/>
                <w:lang w:eastAsia="ja-JP"/>
              </w:rPr>
              <w:t>Alignment within a subframe</w:t>
            </w:r>
          </w:p>
          <w:p w:rsidR="001E6124" w:rsidRPr="005010C2" w:rsidRDefault="001E6124" w:rsidP="005010C2">
            <w:pPr>
              <w:numPr>
                <w:ilvl w:val="1"/>
                <w:numId w:val="32"/>
              </w:numPr>
              <w:adjustRightInd/>
              <w:spacing w:line="240" w:lineRule="auto"/>
              <w:rPr>
                <w:rFonts w:eastAsia="MS Mincho"/>
                <w:lang w:eastAsia="ja-JP"/>
              </w:rPr>
            </w:pPr>
            <w:r w:rsidRPr="00C50F8E">
              <w:rPr>
                <w:rFonts w:eastAsia="MS Mincho"/>
                <w:lang w:eastAsia="ja-JP"/>
              </w:rPr>
              <w:t>Symbol level alignment across different subcarrier spacings with the same CP overhead is assumed within a subframe duration in a NR carrier</w:t>
            </w:r>
          </w:p>
        </w:tc>
      </w:tr>
    </w:tbl>
    <w:p w:rsidR="001E6124" w:rsidRDefault="001E6124" w:rsidP="000A32E0">
      <w:pPr>
        <w:spacing w:line="240" w:lineRule="exact"/>
      </w:pPr>
    </w:p>
    <w:p w:rsidR="00624BB7" w:rsidRDefault="001E6124" w:rsidP="00D876F7">
      <w:pPr>
        <w:spacing w:line="240" w:lineRule="auto"/>
      </w:pPr>
      <w:r>
        <w:t>Thus, within a sub-frame the symbol boundaries of scaled numerologies from the same CP family need to be aligned.</w:t>
      </w:r>
    </w:p>
    <w:p w:rsidR="001E6124" w:rsidRDefault="001E6124" w:rsidP="000A32E0">
      <w:pPr>
        <w:spacing w:line="240" w:lineRule="exact"/>
      </w:pPr>
    </w:p>
    <w:p w:rsidR="00060703" w:rsidRDefault="001E6124" w:rsidP="00D876F7">
      <w:pPr>
        <w:spacing w:line="240" w:lineRule="auto"/>
      </w:pPr>
      <w:r>
        <w:t>Regarding the r</w:t>
      </w:r>
      <w:r w:rsidR="00060703">
        <w:t>eference numerology, there are two options</w:t>
      </w:r>
      <w:r w:rsidR="00CF527B">
        <w:t xml:space="preserve"> that are discussed in the following</w:t>
      </w:r>
      <w:r w:rsidR="00AD5EB6">
        <w:t xml:space="preserve"> two sub-sections, either one could allow multiple reference numerologies or one could restrict NR to just have a single one.</w:t>
      </w:r>
    </w:p>
    <w:p w:rsidR="00AD5EB6" w:rsidRDefault="00AD5EB6" w:rsidP="00D876F7">
      <w:pPr>
        <w:spacing w:line="240" w:lineRule="auto"/>
      </w:pPr>
    </w:p>
    <w:p w:rsidR="00D876F7" w:rsidRPr="00226D96" w:rsidRDefault="00226D96" w:rsidP="00226D96">
      <w:pPr>
        <w:numPr>
          <w:ilvl w:val="1"/>
          <w:numId w:val="1"/>
        </w:numPr>
        <w:rPr>
          <w:b/>
          <w:sz w:val="30"/>
          <w:szCs w:val="30"/>
        </w:rPr>
      </w:pPr>
      <w:r>
        <w:rPr>
          <w:b/>
          <w:sz w:val="30"/>
          <w:szCs w:val="30"/>
        </w:rPr>
        <w:t>Option 1: Multiple reference numerologies</w:t>
      </w:r>
      <w:r>
        <w:t xml:space="preserve"> </w:t>
      </w:r>
    </w:p>
    <w:p w:rsidR="00CF527B" w:rsidRDefault="00E34CA4" w:rsidP="002A7F70">
      <w:pPr>
        <w:spacing w:line="240" w:lineRule="auto"/>
        <w:jc w:val="both"/>
      </w:pPr>
      <w:r>
        <w:t xml:space="preserve">The </w:t>
      </w:r>
      <w:r w:rsidR="00810598">
        <w:t>supported</w:t>
      </w:r>
      <w:r>
        <w:t xml:space="preserve"> sub-carrier spacing</w:t>
      </w:r>
      <w:r w:rsidR="00810598">
        <w:t xml:space="preserve">s in NR are SCS </w:t>
      </w:r>
      <w:r>
        <w:t>= 2^m with m</w:t>
      </w:r>
      <w:r w:rsidR="002A7F70">
        <w:t xml:space="preserve"> </w:t>
      </w:r>
      <w:r>
        <w:t>=</w:t>
      </w:r>
      <w:r w:rsidR="002A7F70">
        <w:t xml:space="preserve"> </w:t>
      </w:r>
      <w:r>
        <w:t>(-2,</w:t>
      </w:r>
      <w:r w:rsidR="002A7F70">
        <w:t xml:space="preserve"> </w:t>
      </w:r>
      <w:r>
        <w:t>-1,</w:t>
      </w:r>
      <w:r w:rsidR="002A7F70">
        <w:t xml:space="preserve"> </w:t>
      </w:r>
      <w:r>
        <w:t>0,</w:t>
      </w:r>
      <w:r w:rsidR="002A7F70">
        <w:t xml:space="preserve"> </w:t>
      </w:r>
      <w:r>
        <w:t>1,</w:t>
      </w:r>
      <w:r w:rsidR="002A7F70">
        <w:t xml:space="preserve"> </w:t>
      </w:r>
      <w:r>
        <w:t>2,</w:t>
      </w:r>
      <w:r w:rsidR="002A7F70">
        <w:t xml:space="preserve"> </w:t>
      </w:r>
      <w:r>
        <w:t>3,</w:t>
      </w:r>
      <w:r w:rsidR="002A7F70">
        <w:t xml:space="preserve"> </w:t>
      </w:r>
      <w:r>
        <w:t>4,</w:t>
      </w:r>
      <w:r w:rsidR="002A7F70">
        <w:t xml:space="preserve"> </w:t>
      </w:r>
      <w:r>
        <w:t>5)</w:t>
      </w:r>
      <w:r w:rsidR="00AD5EB6">
        <w:t>, [1]</w:t>
      </w:r>
      <w:r>
        <w:t>.</w:t>
      </w:r>
      <w:r w:rsidR="00F86714">
        <w:t xml:space="preserve"> A</w:t>
      </w:r>
      <w:r w:rsidR="00114D7C">
        <w:t xml:space="preserve"> SCS</w:t>
      </w:r>
      <w:r w:rsidR="00F86714">
        <w:t>red sel</w:t>
      </w:r>
      <w:r w:rsidR="002A7F70">
        <w:t>e</w:t>
      </w:r>
      <w:r w:rsidR="00F86714">
        <w:t>cted</w:t>
      </w:r>
      <w:r w:rsidR="00114D7C">
        <w:t xml:space="preserve"> from this </w:t>
      </w:r>
      <w:r w:rsidR="00AD5EB6">
        <w:t>se</w:t>
      </w:r>
      <w:r w:rsidR="00F86714">
        <w:t xml:space="preserve">t must fulfill </w:t>
      </w:r>
      <w:r w:rsidR="002A7F70">
        <w:t xml:space="preserve">the </w:t>
      </w:r>
      <w:r w:rsidR="00F86714">
        <w:t>following conditions</w:t>
      </w:r>
      <w:r w:rsidR="00CF527B">
        <w:t>:</w:t>
      </w:r>
    </w:p>
    <w:p w:rsidR="00E34CA4" w:rsidRDefault="00CF527B" w:rsidP="00D876F7">
      <w:pPr>
        <w:spacing w:line="240" w:lineRule="auto"/>
      </w:pPr>
      <w:r>
        <w:t xml:space="preserve"> </w:t>
      </w:r>
      <w:r w:rsidR="00E34CA4">
        <w:t xml:space="preserve"> </w:t>
      </w:r>
    </w:p>
    <w:p w:rsidR="00E34CA4" w:rsidRDefault="00E34CA4" w:rsidP="00D876F7">
      <w:pPr>
        <w:pStyle w:val="ListParagraph"/>
        <w:numPr>
          <w:ilvl w:val="0"/>
          <w:numId w:val="37"/>
        </w:numPr>
        <w:spacing w:line="240" w:lineRule="auto"/>
        <w:ind w:firstLineChars="0"/>
      </w:pPr>
      <w:r>
        <w:t>The sub</w:t>
      </w:r>
      <w:r w:rsidR="00CF527B">
        <w:t>-frame durations must be</w:t>
      </w:r>
      <w:r>
        <w:t xml:space="preserve"> exactly 1ms * 2^(-m)</w:t>
      </w:r>
    </w:p>
    <w:p w:rsidR="00E34CA4" w:rsidRDefault="00CF527B" w:rsidP="00D876F7">
      <w:pPr>
        <w:pStyle w:val="ListParagraph"/>
        <w:numPr>
          <w:ilvl w:val="0"/>
          <w:numId w:val="37"/>
        </w:numPr>
        <w:spacing w:line="240" w:lineRule="auto"/>
        <w:ind w:firstLineChars="0"/>
      </w:pPr>
      <w:r>
        <w:t>T</w:t>
      </w:r>
      <w:r w:rsidR="00E34CA4">
        <w:t>he number of symbols</w:t>
      </w:r>
      <w:r w:rsidR="00AD5EB6">
        <w:t xml:space="preserve"> that </w:t>
      </w:r>
      <w:r w:rsidR="00E34CA4">
        <w:t xml:space="preserve">fit </w:t>
      </w:r>
      <w:r w:rsidR="00AD5EB6">
        <w:t xml:space="preserve">into a sub-frame must be </w:t>
      </w:r>
      <w:r w:rsidR="00E34CA4">
        <w:t>the same</w:t>
      </w:r>
      <w:r w:rsidR="00AD5EB6">
        <w:t xml:space="preserve"> for all chosen SCSref</w:t>
      </w:r>
      <w:r w:rsidR="00E34CA4">
        <w:t>.</w:t>
      </w:r>
    </w:p>
    <w:p w:rsidR="00AD5EB6" w:rsidRDefault="00AD5EB6" w:rsidP="00D876F7">
      <w:pPr>
        <w:pStyle w:val="ListParagraph"/>
        <w:numPr>
          <w:ilvl w:val="0"/>
          <w:numId w:val="37"/>
        </w:numPr>
        <w:spacing w:line="240" w:lineRule="auto"/>
        <w:ind w:firstLineChars="0"/>
      </w:pPr>
      <w:r>
        <w:t xml:space="preserve">Symbol durations across scaled numerologies (with the same CP overhead) need to be symbol aligned </w:t>
      </w:r>
    </w:p>
    <w:p w:rsidR="00D876F7" w:rsidRDefault="00D876F7" w:rsidP="00D876F7">
      <w:pPr>
        <w:spacing w:line="240" w:lineRule="auto"/>
      </w:pPr>
    </w:p>
    <w:p w:rsidR="0020218A" w:rsidRDefault="00140F02" w:rsidP="002A7F70">
      <w:pPr>
        <w:spacing w:line="240" w:lineRule="auto"/>
        <w:jc w:val="both"/>
      </w:pPr>
      <w:r>
        <w:t xml:space="preserve">If </w:t>
      </w:r>
      <w:r w:rsidR="00810598">
        <w:t xml:space="preserve">the </w:t>
      </w:r>
      <w:r>
        <w:t>LTE/NCP numerology sha</w:t>
      </w:r>
      <w:r w:rsidR="002A7F70">
        <w:t xml:space="preserve">ll be used for 15 kHz SCS, </w:t>
      </w:r>
      <w:r>
        <w:t>the three conditions</w:t>
      </w:r>
      <w:r w:rsidR="00CF527B">
        <w:t xml:space="preserve"> </w:t>
      </w:r>
      <w:r>
        <w:t xml:space="preserve">above </w:t>
      </w:r>
      <w:r w:rsidR="00D876F7">
        <w:t xml:space="preserve">cannot </w:t>
      </w:r>
      <w:r w:rsidR="00810598">
        <w:t xml:space="preserve">always </w:t>
      </w:r>
      <w:r w:rsidR="00D876F7">
        <w:t xml:space="preserve">be fulfilled </w:t>
      </w:r>
      <w:r>
        <w:t>all together</w:t>
      </w:r>
      <w:r w:rsidR="00CF527B">
        <w:t xml:space="preserve">. This is illustrated </w:t>
      </w:r>
      <w:r>
        <w:t xml:space="preserve">below for the case of </w:t>
      </w:r>
      <w:r w:rsidR="00CF527B">
        <w:t>SCS</w:t>
      </w:r>
      <w:r>
        <w:t>ref</w:t>
      </w:r>
      <w:r w:rsidR="00CF527B">
        <w:t xml:space="preserve"> = 60 kHz</w:t>
      </w:r>
      <w:r>
        <w:t>, in which the sub-frame duration must be 0.25</w:t>
      </w:r>
      <w:r w:rsidR="002A7F70">
        <w:t xml:space="preserve"> </w:t>
      </w:r>
      <w:r>
        <w:t>ms.</w:t>
      </w:r>
      <w:r w:rsidR="00CF527B">
        <w:t xml:space="preserve"> </w:t>
      </w:r>
      <w:r>
        <w:t xml:space="preserve">The upper scheme in </w:t>
      </w:r>
      <w:r w:rsidR="002A7F70">
        <w:t>F</w:t>
      </w:r>
      <w:r>
        <w:t xml:space="preserve">igure 1 </w:t>
      </w:r>
      <w:r w:rsidR="00CF527B">
        <w:t xml:space="preserve">represents the </w:t>
      </w:r>
      <w:r w:rsidR="0075003C">
        <w:t>LTE/</w:t>
      </w:r>
      <w:r w:rsidR="0020218A">
        <w:t>NCP to be used at 15 kHz. Only two sub-frames</w:t>
      </w:r>
      <w:r>
        <w:t xml:space="preserve"> (7 symbols) are illustrated</w:t>
      </w:r>
      <w:r w:rsidR="0020218A">
        <w:t>. The middle</w:t>
      </w:r>
      <w:r>
        <w:t xml:space="preserve"> scheme</w:t>
      </w:r>
      <w:r w:rsidR="0020218A">
        <w:t xml:space="preserve"> shows the SCS</w:t>
      </w:r>
      <w:r w:rsidR="002A7F70">
        <w:t xml:space="preserve"> </w:t>
      </w:r>
      <w:r w:rsidR="0020218A">
        <w:t>=</w:t>
      </w:r>
      <w:r w:rsidR="002A7F70">
        <w:t xml:space="preserve"> </w:t>
      </w:r>
      <w:r w:rsidR="0020218A">
        <w:t xml:space="preserve">30 kHz and the bottom </w:t>
      </w:r>
      <w:r>
        <w:t>one illustrates</w:t>
      </w:r>
      <w:r w:rsidR="0020218A">
        <w:t xml:space="preserve"> the reference SCS of 60 kHz. All symbol</w:t>
      </w:r>
      <w:r>
        <w:t>s across these numerologies are designed to maintain symbol</w:t>
      </w:r>
      <w:r w:rsidR="0020218A">
        <w:t xml:space="preserve"> level alignment. The problem is </w:t>
      </w:r>
      <w:r w:rsidR="001F5B0C">
        <w:t xml:space="preserve">then </w:t>
      </w:r>
      <w:r w:rsidR="0020218A">
        <w:t>seen for the reference SCS =</w:t>
      </w:r>
      <w:r w:rsidR="001F5B0C">
        <w:t xml:space="preserve"> 60 kHz: Due to the non-uniform symbol duration of LTE/NCP</w:t>
      </w:r>
      <w:r w:rsidR="0020218A">
        <w:t>, the length of the sub</w:t>
      </w:r>
      <w:r w:rsidR="001F5B0C">
        <w:t>-</w:t>
      </w:r>
      <w:r w:rsidR="0020218A">
        <w:t>frames becomes ambiguous and n</w:t>
      </w:r>
      <w:r w:rsidR="001F5B0C">
        <w:t xml:space="preserve">either of </w:t>
      </w:r>
      <w:r w:rsidR="0020218A">
        <w:t>them is exactly 0.25</w:t>
      </w:r>
      <w:r w:rsidR="002A7F70">
        <w:t xml:space="preserve"> </w:t>
      </w:r>
      <w:r w:rsidR="0020218A">
        <w:t>ms</w:t>
      </w:r>
      <w:r w:rsidR="001F5B0C">
        <w:t>.</w:t>
      </w:r>
      <w:r w:rsidR="0020218A">
        <w:t xml:space="preserve"> </w:t>
      </w:r>
    </w:p>
    <w:p w:rsidR="00D876F7" w:rsidRDefault="0020218A" w:rsidP="00D876F7">
      <w:pPr>
        <w:spacing w:line="240" w:lineRule="auto"/>
      </w:pPr>
      <w:r>
        <w:t xml:space="preserve">  </w:t>
      </w:r>
      <w:r w:rsidR="00D876F7">
        <w:t xml:space="preserve"> </w:t>
      </w:r>
    </w:p>
    <w:p w:rsidR="00D876F7" w:rsidRDefault="0075003C" w:rsidP="00D876F7">
      <w:pPr>
        <w:spacing w:line="240" w:lineRule="auto"/>
      </w:pPr>
      <w:r>
        <w:rPr>
          <w:noProof/>
        </w:rPr>
        <w:drawing>
          <wp:inline distT="0" distB="0" distL="0" distR="0">
            <wp:extent cx="6281254" cy="1932128"/>
            <wp:effectExtent l="19050" t="0" r="5246"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6281365" cy="1932162"/>
                    </a:xfrm>
                    <a:prstGeom prst="rect">
                      <a:avLst/>
                    </a:prstGeom>
                    <a:noFill/>
                  </pic:spPr>
                </pic:pic>
              </a:graphicData>
            </a:graphic>
          </wp:inline>
        </w:drawing>
      </w:r>
    </w:p>
    <w:p w:rsidR="00CF527B" w:rsidRPr="002A7F70" w:rsidRDefault="00CF527B" w:rsidP="00CF527B">
      <w:pPr>
        <w:pStyle w:val="Caption"/>
        <w:jc w:val="center"/>
        <w:rPr>
          <w:b w:val="0"/>
        </w:rPr>
      </w:pPr>
      <w:r w:rsidRPr="002A7F70">
        <w:rPr>
          <w:b w:val="0"/>
        </w:rPr>
        <w:t xml:space="preserve">Figure </w:t>
      </w:r>
      <w:r w:rsidR="0009335D" w:rsidRPr="002A7F70">
        <w:rPr>
          <w:b w:val="0"/>
        </w:rPr>
        <w:fldChar w:fldCharType="begin"/>
      </w:r>
      <w:r w:rsidR="0009335D" w:rsidRPr="002A7F70">
        <w:rPr>
          <w:b w:val="0"/>
        </w:rPr>
        <w:instrText xml:space="preserve"> SEQ Figure \* ARABIC </w:instrText>
      </w:r>
      <w:r w:rsidR="0009335D" w:rsidRPr="002A7F70">
        <w:rPr>
          <w:b w:val="0"/>
        </w:rPr>
        <w:fldChar w:fldCharType="separate"/>
      </w:r>
      <w:r w:rsidR="00E20340" w:rsidRPr="002A7F70">
        <w:rPr>
          <w:b w:val="0"/>
          <w:noProof/>
        </w:rPr>
        <w:t>1</w:t>
      </w:r>
      <w:r w:rsidR="0009335D" w:rsidRPr="002A7F70">
        <w:rPr>
          <w:b w:val="0"/>
        </w:rPr>
        <w:fldChar w:fldCharType="end"/>
      </w:r>
      <w:r w:rsidRPr="002A7F70">
        <w:rPr>
          <w:b w:val="0"/>
        </w:rPr>
        <w:t xml:space="preserve"> – Ambig</w:t>
      </w:r>
      <w:r w:rsidR="002A7F70">
        <w:rPr>
          <w:b w:val="0"/>
        </w:rPr>
        <w:t>u</w:t>
      </w:r>
      <w:r w:rsidRPr="002A7F70">
        <w:rPr>
          <w:b w:val="0"/>
        </w:rPr>
        <w:t>ous sub-frame lengths for SCS</w:t>
      </w:r>
      <w:r w:rsidR="002A7F70">
        <w:rPr>
          <w:b w:val="0"/>
        </w:rPr>
        <w:t xml:space="preserve"> </w:t>
      </w:r>
      <w:r w:rsidRPr="002A7F70">
        <w:rPr>
          <w:b w:val="0"/>
        </w:rPr>
        <w:t>=</w:t>
      </w:r>
      <w:r w:rsidR="002A7F70">
        <w:rPr>
          <w:b w:val="0"/>
        </w:rPr>
        <w:t xml:space="preserve"> </w:t>
      </w:r>
      <w:r w:rsidRPr="002A7F70">
        <w:rPr>
          <w:b w:val="0"/>
        </w:rPr>
        <w:t>60 kHz or larger when having symbol level alignment and LTE/NCP for SCS</w:t>
      </w:r>
      <w:r w:rsidR="002A7F70">
        <w:rPr>
          <w:b w:val="0"/>
        </w:rPr>
        <w:t xml:space="preserve"> </w:t>
      </w:r>
      <w:r w:rsidRPr="002A7F70">
        <w:rPr>
          <w:b w:val="0"/>
        </w:rPr>
        <w:t>=</w:t>
      </w:r>
      <w:r w:rsidR="002A7F70">
        <w:rPr>
          <w:b w:val="0"/>
        </w:rPr>
        <w:t xml:space="preserve"> </w:t>
      </w:r>
      <w:r w:rsidRPr="002A7F70">
        <w:rPr>
          <w:b w:val="0"/>
        </w:rPr>
        <w:t>15kHz</w:t>
      </w:r>
    </w:p>
    <w:p w:rsidR="001F5B0C" w:rsidRDefault="001F5B0C" w:rsidP="00D876F7">
      <w:pPr>
        <w:spacing w:line="240" w:lineRule="auto"/>
        <w:rPr>
          <w:b/>
          <w:i/>
          <w:u w:val="single"/>
        </w:rPr>
      </w:pPr>
    </w:p>
    <w:p w:rsidR="00D876F7" w:rsidRPr="001F5B0C" w:rsidRDefault="00D876F7" w:rsidP="002A7F70">
      <w:pPr>
        <w:spacing w:line="240" w:lineRule="auto"/>
        <w:jc w:val="both"/>
        <w:rPr>
          <w:i/>
        </w:rPr>
      </w:pPr>
      <w:r w:rsidRPr="001F5B0C">
        <w:rPr>
          <w:b/>
          <w:i/>
          <w:u w:val="single"/>
        </w:rPr>
        <w:t>Observation</w:t>
      </w:r>
      <w:r w:rsidR="001F5B0C" w:rsidRPr="001F5B0C">
        <w:rPr>
          <w:b/>
          <w:i/>
          <w:u w:val="single"/>
        </w:rPr>
        <w:t xml:space="preserve"> 1</w:t>
      </w:r>
      <w:r w:rsidRPr="001F5B0C">
        <w:rPr>
          <w:b/>
          <w:i/>
          <w:u w:val="single"/>
        </w:rPr>
        <w:t>:</w:t>
      </w:r>
      <w:r w:rsidR="001F5B0C">
        <w:rPr>
          <w:i/>
        </w:rPr>
        <w:t xml:space="preserve"> If LTE/NCP is used</w:t>
      </w:r>
      <w:r w:rsidRPr="001F5B0C">
        <w:rPr>
          <w:i/>
        </w:rPr>
        <w:t xml:space="preserve"> for SCS=15kHz and symbol level alignment across scaled numerologies is maintained, SCS from </w:t>
      </w:r>
      <w:r w:rsidR="00CF527B" w:rsidRPr="001F5B0C">
        <w:rPr>
          <w:i/>
        </w:rPr>
        <w:t xml:space="preserve">60kHz or larger cannot be selected as a reference numerology, since the sub-frame length becomes ambiguous and </w:t>
      </w:r>
      <w:r w:rsidR="00590621" w:rsidRPr="001F5B0C">
        <w:rPr>
          <w:i/>
        </w:rPr>
        <w:t xml:space="preserve">is </w:t>
      </w:r>
      <w:r w:rsidR="00CF527B" w:rsidRPr="001F5B0C">
        <w:rPr>
          <w:i/>
        </w:rPr>
        <w:t>different from 1ms*2^(-m)</w:t>
      </w:r>
      <w:r w:rsidR="001F5B0C">
        <w:rPr>
          <w:i/>
        </w:rPr>
        <w:t>.</w:t>
      </w:r>
    </w:p>
    <w:p w:rsidR="00D876F7" w:rsidRDefault="00D876F7" w:rsidP="00227FD4">
      <w:pPr>
        <w:spacing w:line="240" w:lineRule="auto"/>
      </w:pPr>
    </w:p>
    <w:p w:rsidR="001F5B0C" w:rsidRDefault="0020218A" w:rsidP="002A7F70">
      <w:pPr>
        <w:spacing w:line="240" w:lineRule="auto"/>
        <w:jc w:val="both"/>
      </w:pPr>
      <w:r>
        <w:t>A solution to the above problem is t</w:t>
      </w:r>
      <w:r w:rsidR="0049275B">
        <w:t>o change the symbol structure</w:t>
      </w:r>
      <w:r w:rsidR="00FE18BD">
        <w:t xml:space="preserve"> for </w:t>
      </w:r>
      <w:r w:rsidR="004143B4">
        <w:t xml:space="preserve">the </w:t>
      </w:r>
      <w:r w:rsidR="00FE18BD">
        <w:t>reference SCS. The</w:t>
      </w:r>
      <w:r w:rsidR="0049275B">
        <w:t xml:space="preserve"> reference SCS could</w:t>
      </w:r>
      <w:r w:rsidR="001F5B0C">
        <w:t xml:space="preserve"> always employ</w:t>
      </w:r>
      <w:r>
        <w:t xml:space="preserve"> a scaled </w:t>
      </w:r>
      <w:r w:rsidR="00590621">
        <w:t>LTE</w:t>
      </w:r>
      <w:r w:rsidR="00FE18BD">
        <w:t>/NCP symbol structure</w:t>
      </w:r>
      <w:r w:rsidR="001F5B0C">
        <w:t>, with “scaled” it is meant that s</w:t>
      </w:r>
      <w:r w:rsidR="00FE18BD">
        <w:t xml:space="preserve">ymbols </w:t>
      </w:r>
      <w:r w:rsidR="001F5B0C">
        <w:t xml:space="preserve">are </w:t>
      </w:r>
      <w:r w:rsidR="00FE18BD">
        <w:t>stretched</w:t>
      </w:r>
      <w:r w:rsidR="001F5B0C">
        <w:t xml:space="preserve"> or </w:t>
      </w:r>
      <w:r w:rsidR="00FE18BD">
        <w:t>compressed with 2^</w:t>
      </w:r>
      <w:r w:rsidR="001F5B0C">
        <w:t>(</w:t>
      </w:r>
      <w:r w:rsidR="00FE18BD">
        <w:t>-m</w:t>
      </w:r>
      <w:r w:rsidR="001F5B0C">
        <w:t>)</w:t>
      </w:r>
      <w:r w:rsidR="00FE18BD">
        <w:t>, where 2^m defines the scaling of the sub-carrier spacing.</w:t>
      </w:r>
      <w:r w:rsidR="004143B4">
        <w:t xml:space="preserve"> </w:t>
      </w:r>
    </w:p>
    <w:p w:rsidR="00FE18BD" w:rsidRDefault="004143B4" w:rsidP="002A7F70">
      <w:pPr>
        <w:spacing w:line="240" w:lineRule="auto"/>
        <w:jc w:val="both"/>
      </w:pPr>
      <w:r>
        <w:lastRenderedPageBreak/>
        <w:t xml:space="preserve">This </w:t>
      </w:r>
      <w:r w:rsidR="001F5B0C">
        <w:t>would ensure</w:t>
      </w:r>
      <w:r>
        <w:t xml:space="preserve"> that the sub-frame duration always is exactly 1ms * 2^(-m).</w:t>
      </w:r>
      <w:r w:rsidR="00164066">
        <w:t xml:space="preserve"> The symbol structures for other SCS are then designed to maintain symbol-level alignment. This is illustrated below</w:t>
      </w:r>
      <w:r w:rsidR="001F5B0C">
        <w:t xml:space="preserve"> for a SCSref =</w:t>
      </w:r>
      <w:r w:rsidR="00164066">
        <w:t xml:space="preserve"> 60 kHz. The SCS of 30 kHz is shown in the middle part of the figure </w:t>
      </w:r>
      <w:r w:rsidR="001F5B0C">
        <w:t xml:space="preserve">below. Its symbol structure </w:t>
      </w:r>
      <w:r w:rsidR="005D6743">
        <w:t xml:space="preserve">is </w:t>
      </w:r>
      <w:r w:rsidR="001F5B0C">
        <w:t>represented by the sequence [</w:t>
      </w:r>
      <w:r w:rsidR="00CD478F">
        <w:t>L,S,S,L,S,S,S</w:t>
      </w:r>
      <w:r w:rsidR="001F5B0C">
        <w:t>]</w:t>
      </w:r>
      <w:r w:rsidR="002973C9">
        <w:t xml:space="preserve"> where L </w:t>
      </w:r>
      <w:r w:rsidR="001F5B0C">
        <w:t xml:space="preserve">means </w:t>
      </w:r>
      <w:r w:rsidR="002973C9">
        <w:t xml:space="preserve">a </w:t>
      </w:r>
      <w:r w:rsidR="001F5B0C">
        <w:t xml:space="preserve">slightly </w:t>
      </w:r>
      <w:r w:rsidR="002973C9">
        <w:t>long</w:t>
      </w:r>
      <w:r w:rsidR="001F5B0C">
        <w:t>er symbol and S a slightly shorter symbol</w:t>
      </w:r>
      <w:r w:rsidR="002973C9">
        <w:t>.</w:t>
      </w:r>
    </w:p>
    <w:p w:rsidR="00164066" w:rsidRDefault="00164066" w:rsidP="00227FD4">
      <w:pPr>
        <w:spacing w:line="240" w:lineRule="auto"/>
      </w:pPr>
      <w:r w:rsidRPr="00164066">
        <w:rPr>
          <w:noProof/>
        </w:rPr>
        <w:drawing>
          <wp:inline distT="0" distB="0" distL="0" distR="0">
            <wp:extent cx="5731510" cy="1716534"/>
            <wp:effectExtent l="0" t="0" r="254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srcRect/>
                    <a:stretch>
                      <a:fillRect/>
                    </a:stretch>
                  </pic:blipFill>
                  <pic:spPr bwMode="auto">
                    <a:xfrm>
                      <a:off x="0" y="0"/>
                      <a:ext cx="5731510" cy="1716534"/>
                    </a:xfrm>
                    <a:prstGeom prst="rect">
                      <a:avLst/>
                    </a:prstGeom>
                    <a:noFill/>
                    <a:ln w="9525">
                      <a:noFill/>
                      <a:miter lim="800000"/>
                      <a:headEnd/>
                      <a:tailEnd/>
                    </a:ln>
                  </pic:spPr>
                </pic:pic>
              </a:graphicData>
            </a:graphic>
          </wp:inline>
        </w:drawing>
      </w:r>
    </w:p>
    <w:p w:rsidR="00164066" w:rsidRPr="002A7F70" w:rsidRDefault="00164066" w:rsidP="00164066">
      <w:pPr>
        <w:pStyle w:val="Caption"/>
        <w:jc w:val="center"/>
        <w:rPr>
          <w:b w:val="0"/>
        </w:rPr>
      </w:pPr>
      <w:r w:rsidRPr="002A7F70">
        <w:rPr>
          <w:b w:val="0"/>
        </w:rPr>
        <w:t xml:space="preserve">Figure </w:t>
      </w:r>
      <w:r w:rsidR="0009335D" w:rsidRPr="002A7F70">
        <w:rPr>
          <w:b w:val="0"/>
        </w:rPr>
        <w:fldChar w:fldCharType="begin"/>
      </w:r>
      <w:r w:rsidR="0009335D" w:rsidRPr="002A7F70">
        <w:rPr>
          <w:b w:val="0"/>
        </w:rPr>
        <w:instrText xml:space="preserve"> SEQ Figure \* ARABIC </w:instrText>
      </w:r>
      <w:r w:rsidR="0009335D" w:rsidRPr="002A7F70">
        <w:rPr>
          <w:b w:val="0"/>
        </w:rPr>
        <w:fldChar w:fldCharType="separate"/>
      </w:r>
      <w:r w:rsidR="00E20340" w:rsidRPr="002A7F70">
        <w:rPr>
          <w:b w:val="0"/>
          <w:noProof/>
        </w:rPr>
        <w:t>2</w:t>
      </w:r>
      <w:r w:rsidR="0009335D" w:rsidRPr="002A7F70">
        <w:rPr>
          <w:b w:val="0"/>
        </w:rPr>
        <w:fldChar w:fldCharType="end"/>
      </w:r>
      <w:r w:rsidRPr="002A7F70">
        <w:rPr>
          <w:b w:val="0"/>
        </w:rPr>
        <w:t xml:space="preserve"> – Using compressed LTE/NCP symbols structure for reference SCS of 60 kHz. This gives sub-frames of exactly 0.25</w:t>
      </w:r>
      <w:r w:rsidR="002A7F70">
        <w:rPr>
          <w:b w:val="0"/>
        </w:rPr>
        <w:t xml:space="preserve"> </w:t>
      </w:r>
      <w:r w:rsidRPr="002A7F70">
        <w:rPr>
          <w:b w:val="0"/>
        </w:rPr>
        <w:t>ms. Symbol structure for other numerologies is designed according to symbol alignment requirement</w:t>
      </w:r>
    </w:p>
    <w:p w:rsidR="001F5B0C" w:rsidRDefault="001F5B0C" w:rsidP="00227FD4">
      <w:pPr>
        <w:spacing w:line="240" w:lineRule="auto"/>
      </w:pPr>
    </w:p>
    <w:p w:rsidR="002973C9" w:rsidRDefault="001F5B0C" w:rsidP="002A7F70">
      <w:pPr>
        <w:spacing w:line="240" w:lineRule="auto"/>
        <w:jc w:val="both"/>
      </w:pPr>
      <w:r>
        <w:t>The drawback of the above approach becomes visible when another SCS is used as th</w:t>
      </w:r>
      <w:r w:rsidR="00CD478F">
        <w:t xml:space="preserve">e reference sub-carrier spacing: </w:t>
      </w:r>
      <w:r w:rsidR="002973C9">
        <w:t>the symbol structure that has to be used for a certain sub-carrier spacing depends on the chosen reference sub-carrier spacing. If</w:t>
      </w:r>
      <w:r w:rsidR="00CD478F">
        <w:t>,</w:t>
      </w:r>
      <w:r w:rsidR="002973C9">
        <w:t xml:space="preserve"> for ins</w:t>
      </w:r>
      <w:r w:rsidR="00CD478F">
        <w:t>tance, SCSref =</w:t>
      </w:r>
      <w:r w:rsidR="002973C9">
        <w:t>120 kHz, then, the symbol structure for SCS of 30 kHz is different compared</w:t>
      </w:r>
      <w:r w:rsidR="00CD478F">
        <w:t xml:space="preserve"> to the case when </w:t>
      </w:r>
      <w:r w:rsidR="002973C9">
        <w:t>SCS</w:t>
      </w:r>
      <w:r w:rsidR="00CD478F">
        <w:t>ref =</w:t>
      </w:r>
      <w:r w:rsidR="002A7F70">
        <w:t xml:space="preserve"> 60 kHz</w:t>
      </w:r>
      <w:r w:rsidR="002973C9">
        <w:t>.</w:t>
      </w:r>
      <w:r w:rsidR="002A7F70">
        <w:t xml:space="preserve"> </w:t>
      </w:r>
      <w:r w:rsidR="0048204D">
        <w:t xml:space="preserve">This is illustrated </w:t>
      </w:r>
      <w:r w:rsidR="00CD478F">
        <w:t xml:space="preserve">in </w:t>
      </w:r>
      <w:r w:rsidR="002A7F70">
        <w:t>F</w:t>
      </w:r>
      <w:r w:rsidR="0048204D">
        <w:t>igure</w:t>
      </w:r>
      <w:r w:rsidR="00CD478F">
        <w:t xml:space="preserve"> 3</w:t>
      </w:r>
      <w:r w:rsidR="0048204D">
        <w:t xml:space="preserve"> below. </w:t>
      </w:r>
      <w:r w:rsidR="00CD478F">
        <w:t>It can be seen that</w:t>
      </w:r>
      <w:r w:rsidR="0048204D">
        <w:t xml:space="preserve"> the symbol structure for the </w:t>
      </w:r>
      <w:r w:rsidR="00CD478F">
        <w:t xml:space="preserve">SCS = </w:t>
      </w:r>
      <w:r w:rsidR="0048204D">
        <w:t xml:space="preserve">30 kHz now </w:t>
      </w:r>
      <w:r w:rsidR="00CD478F">
        <w:t>is [L,L,S,L,S,L,S]</w:t>
      </w:r>
      <w:r w:rsidR="0048204D">
        <w:t xml:space="preserve"> which is different from </w:t>
      </w:r>
      <w:r w:rsidR="005D6743">
        <w:t xml:space="preserve">SCS =30 kHz when </w:t>
      </w:r>
      <w:r w:rsidR="00CD478F">
        <w:t xml:space="preserve">[L,S,S,L,S,S,S] </w:t>
      </w:r>
      <w:r w:rsidR="0048204D">
        <w:t>when SCS</w:t>
      </w:r>
      <w:r w:rsidR="00CD478F">
        <w:t>ref = 60 kHz</w:t>
      </w:r>
      <w:r w:rsidR="0048204D">
        <w:t xml:space="preserve">.  </w:t>
      </w:r>
    </w:p>
    <w:p w:rsidR="0048204D" w:rsidRDefault="002973C9" w:rsidP="0048204D">
      <w:pPr>
        <w:pStyle w:val="Caption"/>
        <w:jc w:val="center"/>
      </w:pPr>
      <w:r w:rsidRPr="002973C9">
        <w:rPr>
          <w:noProof/>
          <w:lang w:val="en-US" w:eastAsia="zh-CN"/>
        </w:rPr>
        <w:drawing>
          <wp:inline distT="0" distB="0" distL="0" distR="0">
            <wp:extent cx="5731510" cy="1995118"/>
            <wp:effectExtent l="0" t="0" r="254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5731510" cy="1995118"/>
                    </a:xfrm>
                    <a:prstGeom prst="rect">
                      <a:avLst/>
                    </a:prstGeom>
                    <a:noFill/>
                    <a:ln w="9525">
                      <a:noFill/>
                      <a:miter lim="800000"/>
                      <a:headEnd/>
                      <a:tailEnd/>
                    </a:ln>
                  </pic:spPr>
                </pic:pic>
              </a:graphicData>
            </a:graphic>
          </wp:inline>
        </w:drawing>
      </w:r>
      <w:r w:rsidR="0048204D" w:rsidRPr="002A7F70">
        <w:rPr>
          <w:b w:val="0"/>
        </w:rPr>
        <w:t xml:space="preserve">Figure </w:t>
      </w:r>
      <w:r w:rsidR="0009335D" w:rsidRPr="002A7F70">
        <w:rPr>
          <w:b w:val="0"/>
        </w:rPr>
        <w:fldChar w:fldCharType="begin"/>
      </w:r>
      <w:r w:rsidR="0009335D" w:rsidRPr="002A7F70">
        <w:rPr>
          <w:b w:val="0"/>
        </w:rPr>
        <w:instrText xml:space="preserve"> SEQ Figure \* ARABIC </w:instrText>
      </w:r>
      <w:r w:rsidR="0009335D" w:rsidRPr="002A7F70">
        <w:rPr>
          <w:b w:val="0"/>
        </w:rPr>
        <w:fldChar w:fldCharType="separate"/>
      </w:r>
      <w:r w:rsidR="00E20340" w:rsidRPr="002A7F70">
        <w:rPr>
          <w:b w:val="0"/>
          <w:noProof/>
        </w:rPr>
        <w:t>3</w:t>
      </w:r>
      <w:r w:rsidR="0009335D" w:rsidRPr="002A7F70">
        <w:rPr>
          <w:b w:val="0"/>
        </w:rPr>
        <w:fldChar w:fldCharType="end"/>
      </w:r>
      <w:r w:rsidR="0048204D" w:rsidRPr="002A7F70">
        <w:rPr>
          <w:b w:val="0"/>
        </w:rPr>
        <w:t xml:space="preserve"> - Using compressed LTE/NCP symbols structure for reference SCS of 120 kHz. This gives sub-frames of exactly 0.125ms. Symbol structure for other numerologies is designed according to symbol alignment requirement</w:t>
      </w:r>
    </w:p>
    <w:p w:rsidR="0048204D" w:rsidRDefault="0048204D" w:rsidP="00CD478F">
      <w:pPr>
        <w:spacing w:line="240" w:lineRule="auto"/>
        <w:rPr>
          <w:lang w:val="en-GB" w:eastAsia="en-US"/>
        </w:rPr>
      </w:pPr>
    </w:p>
    <w:p w:rsidR="00CD478F" w:rsidRDefault="00CD478F" w:rsidP="00CD478F">
      <w:pPr>
        <w:spacing w:line="240" w:lineRule="auto"/>
        <w:rPr>
          <w:lang w:val="en-GB" w:eastAsia="en-US"/>
        </w:rPr>
      </w:pPr>
      <w:r w:rsidRPr="00CD478F">
        <w:rPr>
          <w:b/>
          <w:i/>
          <w:u w:val="single"/>
          <w:lang w:val="en-GB" w:eastAsia="en-US"/>
        </w:rPr>
        <w:t>Observation 2:</w:t>
      </w:r>
      <w:r w:rsidRPr="00CD478F">
        <w:rPr>
          <w:i/>
          <w:lang w:val="en-GB" w:eastAsia="en-US"/>
        </w:rPr>
        <w:t xml:space="preserve"> The symbol structure for a certain SCS depends on the chosen SCSref.</w:t>
      </w:r>
      <w:r>
        <w:rPr>
          <w:i/>
          <w:lang w:val="en-GB" w:eastAsia="en-US"/>
        </w:rPr>
        <w:t xml:space="preserve"> If N different values are possible for </w:t>
      </w:r>
      <w:r w:rsidRPr="00CD478F">
        <w:rPr>
          <w:i/>
          <w:lang w:val="en-GB" w:eastAsia="en-US"/>
        </w:rPr>
        <w:t>SCSref, then also N different symbol structures need to be defined</w:t>
      </w:r>
      <w:r>
        <w:rPr>
          <w:i/>
          <w:lang w:val="en-GB" w:eastAsia="en-US"/>
        </w:rPr>
        <w:t xml:space="preserve"> for each SCS</w:t>
      </w:r>
      <w:r>
        <w:rPr>
          <w:lang w:val="en-GB" w:eastAsia="en-US"/>
        </w:rPr>
        <w:t xml:space="preserve">.    </w:t>
      </w:r>
    </w:p>
    <w:p w:rsidR="0048204D" w:rsidRDefault="0048204D" w:rsidP="005D6743">
      <w:pPr>
        <w:spacing w:line="240" w:lineRule="auto"/>
        <w:rPr>
          <w:lang w:val="en-GB" w:eastAsia="en-US"/>
        </w:rPr>
      </w:pPr>
    </w:p>
    <w:p w:rsidR="0060538B" w:rsidRDefault="005D6743" w:rsidP="005D6743">
      <w:pPr>
        <w:spacing w:line="240" w:lineRule="auto"/>
        <w:rPr>
          <w:lang w:val="en-GB" w:eastAsia="en-US"/>
        </w:rPr>
      </w:pPr>
      <w:r>
        <w:rPr>
          <w:lang w:val="en-GB" w:eastAsia="en-US"/>
        </w:rPr>
        <w:t>The above observation shows the extremely increased complexity</w:t>
      </w:r>
      <w:r w:rsidR="0060538B">
        <w:rPr>
          <w:lang w:val="en-GB" w:eastAsia="en-US"/>
        </w:rPr>
        <w:t xml:space="preserve"> for the design of </w:t>
      </w:r>
      <w:r>
        <w:rPr>
          <w:lang w:val="en-GB" w:eastAsia="en-US"/>
        </w:rPr>
        <w:t xml:space="preserve">symbol structures when multiple reference SCS are allowed. Having in mind that reference numerology is </w:t>
      </w:r>
      <w:r w:rsidR="0060538B">
        <w:rPr>
          <w:lang w:val="en-GB" w:eastAsia="en-US"/>
        </w:rPr>
        <w:t xml:space="preserve">only </w:t>
      </w:r>
      <w:r>
        <w:rPr>
          <w:lang w:val="en-GB" w:eastAsia="en-US"/>
        </w:rPr>
        <w:t xml:space="preserve">used to provide a </w:t>
      </w:r>
      <w:r>
        <w:rPr>
          <w:lang w:val="en-GB" w:eastAsia="en-US"/>
        </w:rPr>
        <w:lastRenderedPageBreak/>
        <w:t>sub-frame length as timing reference</w:t>
      </w:r>
      <w:r w:rsidR="0060538B">
        <w:rPr>
          <w:lang w:val="en-GB" w:eastAsia="en-US"/>
        </w:rPr>
        <w:t>, the increased complexity for having multiple SCSref outweighs it benefits.</w:t>
      </w:r>
    </w:p>
    <w:p w:rsidR="0060538B" w:rsidRDefault="0060538B" w:rsidP="005D6743">
      <w:pPr>
        <w:spacing w:line="240" w:lineRule="auto"/>
        <w:rPr>
          <w:lang w:val="en-GB" w:eastAsia="en-US"/>
        </w:rPr>
      </w:pPr>
    </w:p>
    <w:p w:rsidR="0060538B" w:rsidRDefault="0060538B" w:rsidP="005D6743">
      <w:pPr>
        <w:spacing w:line="240" w:lineRule="auto"/>
        <w:rPr>
          <w:lang w:val="en-GB" w:eastAsia="en-US"/>
        </w:rPr>
      </w:pPr>
      <w:r>
        <w:rPr>
          <w:lang w:val="en-GB" w:eastAsia="en-US"/>
        </w:rPr>
        <w:t>Therefore, following proposal is made:</w:t>
      </w:r>
    </w:p>
    <w:p w:rsidR="0060538B" w:rsidRDefault="0060538B" w:rsidP="005D6743">
      <w:pPr>
        <w:spacing w:line="240" w:lineRule="auto"/>
        <w:rPr>
          <w:b/>
          <w:i/>
          <w:u w:val="single"/>
          <w:lang w:val="en-GB" w:eastAsia="en-US"/>
        </w:rPr>
      </w:pPr>
    </w:p>
    <w:p w:rsidR="0060538B" w:rsidRDefault="0060538B" w:rsidP="005D6743">
      <w:pPr>
        <w:spacing w:line="240" w:lineRule="auto"/>
        <w:rPr>
          <w:lang w:val="en-GB" w:eastAsia="en-US"/>
        </w:rPr>
      </w:pPr>
      <w:r>
        <w:rPr>
          <w:b/>
          <w:i/>
          <w:u w:val="single"/>
          <w:lang w:val="en-GB" w:eastAsia="en-US"/>
        </w:rPr>
        <w:t>Proposal 1</w:t>
      </w:r>
      <w:r w:rsidRPr="00CD478F">
        <w:rPr>
          <w:b/>
          <w:i/>
          <w:u w:val="single"/>
          <w:lang w:val="en-GB" w:eastAsia="en-US"/>
        </w:rPr>
        <w:t>:</w:t>
      </w:r>
      <w:r w:rsidRPr="00CD478F">
        <w:rPr>
          <w:i/>
          <w:lang w:val="en-GB" w:eastAsia="en-US"/>
        </w:rPr>
        <w:t xml:space="preserve"> </w:t>
      </w:r>
      <w:r>
        <w:rPr>
          <w:i/>
          <w:lang w:val="en-GB" w:eastAsia="en-US"/>
        </w:rPr>
        <w:t>NR should adopt a single numerology as reference numerology</w:t>
      </w:r>
    </w:p>
    <w:p w:rsidR="00D876F7" w:rsidRPr="0060538B" w:rsidRDefault="005D6743" w:rsidP="00227FD4">
      <w:pPr>
        <w:spacing w:line="240" w:lineRule="auto"/>
        <w:rPr>
          <w:lang w:val="en-GB" w:eastAsia="en-US"/>
        </w:rPr>
      </w:pPr>
      <w:r>
        <w:rPr>
          <w:lang w:val="en-GB" w:eastAsia="en-US"/>
        </w:rPr>
        <w:t xml:space="preserve"> </w:t>
      </w:r>
      <w:r w:rsidR="00FB01B6">
        <w:rPr>
          <w:lang w:val="en-GB" w:eastAsia="en-US"/>
        </w:rPr>
        <w:t xml:space="preserve"> </w:t>
      </w:r>
      <w:r w:rsidR="00D876F7">
        <w:t xml:space="preserve"> </w:t>
      </w:r>
    </w:p>
    <w:p w:rsidR="00226D96" w:rsidRPr="00226D96" w:rsidRDefault="00226D96" w:rsidP="00226D96">
      <w:pPr>
        <w:numPr>
          <w:ilvl w:val="1"/>
          <w:numId w:val="1"/>
        </w:numPr>
        <w:rPr>
          <w:b/>
          <w:sz w:val="30"/>
          <w:szCs w:val="30"/>
        </w:rPr>
      </w:pPr>
      <w:r>
        <w:rPr>
          <w:b/>
          <w:sz w:val="30"/>
          <w:szCs w:val="30"/>
        </w:rPr>
        <w:t>Option 2: Using a single reference numerology</w:t>
      </w:r>
      <w:r>
        <w:t xml:space="preserve"> </w:t>
      </w:r>
    </w:p>
    <w:p w:rsidR="00284B7D" w:rsidRDefault="0060538B" w:rsidP="00040AB3">
      <w:pPr>
        <w:spacing w:line="240" w:lineRule="auto"/>
        <w:jc w:val="both"/>
      </w:pPr>
      <w:r>
        <w:t xml:space="preserve">From Observation1 it can be concluded that when a SCS of 60 kHz or larger is used as </w:t>
      </w:r>
      <w:r w:rsidR="00284B7D">
        <w:t xml:space="preserve">the </w:t>
      </w:r>
      <w:r>
        <w:t xml:space="preserve">reference, then LTE/NCP cannot be employed as symbol structure for SCS = 15 kHz. </w:t>
      </w:r>
      <w:r w:rsidR="00284B7D">
        <w:t xml:space="preserve">But this scenario shall be avoided and would </w:t>
      </w:r>
      <w:r w:rsidR="007B059C">
        <w:t>also break against the working assumption</w:t>
      </w:r>
      <w:r w:rsidR="00284B7D">
        <w:t xml:space="preserve"> made in [2]</w:t>
      </w:r>
    </w:p>
    <w:tbl>
      <w:tblPr>
        <w:tblStyle w:val="TableGrid"/>
        <w:tblW w:w="0" w:type="auto"/>
        <w:tblLook w:val="04A0"/>
      </w:tblPr>
      <w:tblGrid>
        <w:gridCol w:w="9166"/>
      </w:tblGrid>
      <w:tr w:rsidR="007B059C" w:rsidTr="007B059C">
        <w:tc>
          <w:tcPr>
            <w:tcW w:w="9166" w:type="dxa"/>
          </w:tcPr>
          <w:p w:rsidR="007B059C" w:rsidRPr="00641F2B" w:rsidRDefault="007B059C" w:rsidP="007B059C">
            <w:pPr>
              <w:rPr>
                <w:rFonts w:eastAsia="MS Mincho"/>
                <w:b/>
                <w:szCs w:val="20"/>
                <w:u w:val="single"/>
                <w:lang w:eastAsia="ja-JP"/>
              </w:rPr>
            </w:pPr>
            <w:r w:rsidRPr="00641F2B">
              <w:rPr>
                <w:rFonts w:eastAsia="MS Mincho" w:hint="eastAsia"/>
                <w:b/>
                <w:szCs w:val="20"/>
                <w:highlight w:val="darkYellow"/>
                <w:u w:val="single"/>
                <w:lang w:eastAsia="ja-JP"/>
              </w:rPr>
              <w:t>Working assumption:</w:t>
            </w:r>
          </w:p>
          <w:p w:rsidR="007B059C" w:rsidRPr="00641F2B" w:rsidRDefault="007B059C" w:rsidP="007B059C">
            <w:pPr>
              <w:numPr>
                <w:ilvl w:val="0"/>
                <w:numId w:val="34"/>
              </w:numPr>
              <w:adjustRightInd/>
              <w:spacing w:line="240" w:lineRule="auto"/>
              <w:rPr>
                <w:rFonts w:eastAsia="MS Mincho"/>
                <w:szCs w:val="20"/>
                <w:lang w:eastAsia="ja-JP"/>
              </w:rPr>
            </w:pPr>
            <w:r w:rsidRPr="00641F2B">
              <w:rPr>
                <w:rFonts w:eastAsia="MS Mincho"/>
                <w:szCs w:val="20"/>
                <w:lang w:eastAsia="ja-JP"/>
              </w:rPr>
              <w:t>In the case of subcarrier spacing 15 kHz and 14 symbols per 1ms, the following applies:</w:t>
            </w:r>
          </w:p>
          <w:p w:rsidR="007B059C" w:rsidRPr="007B059C" w:rsidRDefault="007B059C" w:rsidP="0060538B">
            <w:pPr>
              <w:numPr>
                <w:ilvl w:val="1"/>
                <w:numId w:val="34"/>
              </w:numPr>
              <w:adjustRightInd/>
              <w:spacing w:line="240" w:lineRule="auto"/>
              <w:rPr>
                <w:rFonts w:eastAsia="MS Mincho"/>
                <w:szCs w:val="20"/>
                <w:lang w:eastAsia="ja-JP"/>
              </w:rPr>
            </w:pPr>
            <w:r w:rsidRPr="00641F2B">
              <w:rPr>
                <w:rFonts w:eastAsia="MS Mincho" w:hint="eastAsia"/>
                <w:szCs w:val="20"/>
                <w:lang w:eastAsia="ja-JP"/>
              </w:rPr>
              <w:t xml:space="preserve">Baseline: </w:t>
            </w:r>
            <w:r w:rsidRPr="00641F2B">
              <w:rPr>
                <w:rFonts w:eastAsia="MS Mincho"/>
                <w:szCs w:val="20"/>
                <w:lang w:eastAsia="ja-JP"/>
              </w:rPr>
              <w:t>Symbol boundary is aligned with LTE of normal CP</w:t>
            </w:r>
          </w:p>
        </w:tc>
      </w:tr>
    </w:tbl>
    <w:p w:rsidR="007B059C" w:rsidRDefault="007B059C" w:rsidP="0060538B">
      <w:pPr>
        <w:spacing w:line="240" w:lineRule="auto"/>
      </w:pPr>
    </w:p>
    <w:p w:rsidR="001E6124" w:rsidRDefault="00284B7D" w:rsidP="00040AB3">
      <w:pPr>
        <w:spacing w:line="240" w:lineRule="auto"/>
        <w:jc w:val="both"/>
      </w:pPr>
      <w:r>
        <w:t>Therefore, there are two candidate SCS that can be used as reference numerology, 15 kHz or 30 kHz. Using SCSref</w:t>
      </w:r>
      <w:r w:rsidR="00040AB3">
        <w:t xml:space="preserve"> </w:t>
      </w:r>
      <w:r>
        <w:t>=</w:t>
      </w:r>
      <w:r w:rsidR="00040AB3">
        <w:t xml:space="preserve"> </w:t>
      </w:r>
      <w:r>
        <w:t>15kHz, gives sub-frames of lengt</w:t>
      </w:r>
      <w:r w:rsidR="007B059C">
        <w:t>h 1</w:t>
      </w:r>
      <w:r w:rsidR="00040AB3">
        <w:t xml:space="preserve"> </w:t>
      </w:r>
      <w:r w:rsidR="007B059C">
        <w:t>ms, the same sub-frame duration as used in LTE. Therefore, we propose to use the sub-carrier spacing of 15 kHz with the symbols structure of LTE/NCP as the reference numerology.</w:t>
      </w:r>
      <w:r w:rsidR="0060538B">
        <w:t xml:space="preserve">   </w:t>
      </w:r>
    </w:p>
    <w:p w:rsidR="00624BB7" w:rsidRDefault="00624BB7" w:rsidP="0006799E">
      <w:pPr>
        <w:spacing w:line="240" w:lineRule="auto"/>
      </w:pPr>
    </w:p>
    <w:p w:rsidR="007B059C" w:rsidRDefault="007B059C" w:rsidP="0006799E">
      <w:pPr>
        <w:spacing w:line="240" w:lineRule="auto"/>
        <w:rPr>
          <w:lang w:val="en-GB" w:eastAsia="en-US"/>
        </w:rPr>
      </w:pPr>
      <w:r>
        <w:rPr>
          <w:b/>
          <w:i/>
          <w:u w:val="single"/>
          <w:lang w:val="en-GB" w:eastAsia="en-US"/>
        </w:rPr>
        <w:t>Proposal 2</w:t>
      </w:r>
      <w:r w:rsidRPr="00CD478F">
        <w:rPr>
          <w:b/>
          <w:i/>
          <w:u w:val="single"/>
          <w:lang w:val="en-GB" w:eastAsia="en-US"/>
        </w:rPr>
        <w:t>:</w:t>
      </w:r>
      <w:r w:rsidRPr="00CD478F">
        <w:rPr>
          <w:i/>
          <w:lang w:val="en-GB" w:eastAsia="en-US"/>
        </w:rPr>
        <w:t xml:space="preserve"> </w:t>
      </w:r>
      <w:r>
        <w:rPr>
          <w:i/>
          <w:lang w:val="en-GB" w:eastAsia="en-US"/>
        </w:rPr>
        <w:t xml:space="preserve">NR should adopt SCS = 15 kHz as reference sub-carrier spacing and shall employ the LTE/NCP symbol structure </w:t>
      </w:r>
    </w:p>
    <w:p w:rsidR="007B059C" w:rsidRPr="007B059C" w:rsidRDefault="007B059C" w:rsidP="0006799E">
      <w:pPr>
        <w:spacing w:line="240" w:lineRule="auto"/>
        <w:rPr>
          <w:lang w:val="en-GB"/>
        </w:rPr>
      </w:pPr>
    </w:p>
    <w:p w:rsidR="0006799E" w:rsidRDefault="007B059C" w:rsidP="00040AB3">
      <w:pPr>
        <w:spacing w:line="240" w:lineRule="auto"/>
        <w:jc w:val="both"/>
      </w:pPr>
      <w:r>
        <w:t>The symbol structure for t</w:t>
      </w:r>
      <w:r w:rsidR="00E35B00">
        <w:t>he other SCS is then designed such that symbol level alignment is kept. When going from the reference of 15 kHz to higher sub-carrier spacings, the</w:t>
      </w:r>
      <w:r w:rsidR="0006799E">
        <w:t xml:space="preserve"> shorter symbols (e.g. symbols</w:t>
      </w:r>
      <w:r w:rsidR="0080681C">
        <w:t xml:space="preserve"> 1-6 for NCP)</w:t>
      </w:r>
      <w:r w:rsidR="0006799E">
        <w:t xml:space="preserve"> are proposed to be split into two equally long symbols, and the longer symbol (e.g. symbol 0 for NCP) is split into two parts such that the second part gets the same length as the other symbols for this SCS and the first parts remains longer. This is illustrated below</w:t>
      </w:r>
      <w:r w:rsidR="0080681C">
        <w:t xml:space="preserve"> in figure 4 for the SCS of 15 kHz (SCSref), 30 kHz and 60 kHz.</w:t>
      </w:r>
    </w:p>
    <w:p w:rsidR="00A25CF2" w:rsidRDefault="0080681C" w:rsidP="0006799E">
      <w:pPr>
        <w:spacing w:line="240" w:lineRule="auto"/>
      </w:pPr>
      <w:r w:rsidRPr="0080681C">
        <w:rPr>
          <w:noProof/>
        </w:rPr>
        <w:drawing>
          <wp:inline distT="0" distB="0" distL="0" distR="0">
            <wp:extent cx="5731510" cy="1180245"/>
            <wp:effectExtent l="0" t="0" r="254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srcRect/>
                    <a:stretch>
                      <a:fillRect/>
                    </a:stretch>
                  </pic:blipFill>
                  <pic:spPr bwMode="auto">
                    <a:xfrm>
                      <a:off x="0" y="0"/>
                      <a:ext cx="5731510" cy="1180245"/>
                    </a:xfrm>
                    <a:prstGeom prst="rect">
                      <a:avLst/>
                    </a:prstGeom>
                    <a:noFill/>
                    <a:ln w="9525">
                      <a:noFill/>
                      <a:miter lim="800000"/>
                      <a:headEnd/>
                      <a:tailEnd/>
                    </a:ln>
                  </pic:spPr>
                </pic:pic>
              </a:graphicData>
            </a:graphic>
          </wp:inline>
        </w:drawing>
      </w:r>
    </w:p>
    <w:p w:rsidR="0006799E" w:rsidRPr="00040AB3" w:rsidRDefault="00A25CF2" w:rsidP="00A25CF2">
      <w:pPr>
        <w:pStyle w:val="Caption"/>
        <w:jc w:val="center"/>
        <w:rPr>
          <w:b w:val="0"/>
        </w:rPr>
      </w:pPr>
      <w:r w:rsidRPr="00040AB3">
        <w:rPr>
          <w:b w:val="0"/>
        </w:rPr>
        <w:t xml:space="preserve">Figure </w:t>
      </w:r>
      <w:r w:rsidR="0009335D" w:rsidRPr="00040AB3">
        <w:rPr>
          <w:b w:val="0"/>
        </w:rPr>
        <w:fldChar w:fldCharType="begin"/>
      </w:r>
      <w:r w:rsidR="0009335D" w:rsidRPr="00040AB3">
        <w:rPr>
          <w:b w:val="0"/>
        </w:rPr>
        <w:instrText xml:space="preserve"> SEQ Figure \* ARABIC </w:instrText>
      </w:r>
      <w:r w:rsidR="0009335D" w:rsidRPr="00040AB3">
        <w:rPr>
          <w:b w:val="0"/>
        </w:rPr>
        <w:fldChar w:fldCharType="separate"/>
      </w:r>
      <w:r w:rsidR="00E20340" w:rsidRPr="00040AB3">
        <w:rPr>
          <w:b w:val="0"/>
          <w:noProof/>
        </w:rPr>
        <w:t>4</w:t>
      </w:r>
      <w:r w:rsidR="0009335D" w:rsidRPr="00040AB3">
        <w:rPr>
          <w:b w:val="0"/>
        </w:rPr>
        <w:fldChar w:fldCharType="end"/>
      </w:r>
      <w:r w:rsidRPr="00040AB3">
        <w:rPr>
          <w:b w:val="0"/>
        </w:rPr>
        <w:t xml:space="preserve"> – Designing the symbol structure for symbol level alignment, starting from the NCP reference numerology at SCSref</w:t>
      </w:r>
      <w:r w:rsidR="00040AB3">
        <w:rPr>
          <w:b w:val="0"/>
        </w:rPr>
        <w:t xml:space="preserve"> </w:t>
      </w:r>
      <w:r w:rsidRPr="00040AB3">
        <w:rPr>
          <w:b w:val="0"/>
        </w:rPr>
        <w:t>=</w:t>
      </w:r>
      <w:r w:rsidR="00040AB3">
        <w:rPr>
          <w:b w:val="0"/>
        </w:rPr>
        <w:t xml:space="preserve"> </w:t>
      </w:r>
      <w:r w:rsidRPr="00040AB3">
        <w:rPr>
          <w:b w:val="0"/>
        </w:rPr>
        <w:t>15 kHz</w:t>
      </w:r>
    </w:p>
    <w:p w:rsidR="00E35B00" w:rsidRDefault="0006799E" w:rsidP="0006799E">
      <w:pPr>
        <w:spacing w:line="240" w:lineRule="auto"/>
      </w:pPr>
      <w:r>
        <w:t xml:space="preserve">   </w:t>
      </w:r>
      <w:r w:rsidR="00E35B00">
        <w:t xml:space="preserve">  </w:t>
      </w:r>
    </w:p>
    <w:p w:rsidR="0080681C" w:rsidRDefault="0080681C" w:rsidP="00040AB3">
      <w:pPr>
        <w:spacing w:line="240" w:lineRule="auto"/>
        <w:jc w:val="both"/>
      </w:pPr>
      <w:r>
        <w:t>When going from SCSref</w:t>
      </w:r>
      <w:r w:rsidR="00040AB3">
        <w:t xml:space="preserve"> </w:t>
      </w:r>
      <w:r>
        <w:t>=</w:t>
      </w:r>
      <w:r w:rsidR="00040AB3">
        <w:t xml:space="preserve"> </w:t>
      </w:r>
      <w:r>
        <w:t>15</w:t>
      </w:r>
      <w:r w:rsidR="00A1697C">
        <w:t xml:space="preserve"> </w:t>
      </w:r>
      <w:r>
        <w:t>kHz to 7.5 kHz and 3.75 kHz, the duration of the symbols at lower SCS is obtained by adding the durations of the two corresponding symbols of the higher SCS.</w:t>
      </w:r>
      <w:r w:rsidR="00897F2F">
        <w:t xml:space="preserve"> Thi</w:t>
      </w:r>
      <w:r w:rsidR="00040AB3">
        <w:t>s is illustrated in F</w:t>
      </w:r>
      <w:r w:rsidR="00897F2F">
        <w:t>igure 5 below.</w:t>
      </w:r>
    </w:p>
    <w:p w:rsidR="0080681C" w:rsidRDefault="0080681C" w:rsidP="0006799E">
      <w:pPr>
        <w:spacing w:line="240" w:lineRule="auto"/>
      </w:pPr>
      <w:r w:rsidRPr="0080681C">
        <w:rPr>
          <w:noProof/>
        </w:rPr>
        <w:lastRenderedPageBreak/>
        <w:drawing>
          <wp:inline distT="0" distB="0" distL="0" distR="0">
            <wp:extent cx="5731510" cy="1324296"/>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srcRect/>
                    <a:stretch>
                      <a:fillRect/>
                    </a:stretch>
                  </pic:blipFill>
                  <pic:spPr bwMode="auto">
                    <a:xfrm>
                      <a:off x="0" y="0"/>
                      <a:ext cx="5731510" cy="1324296"/>
                    </a:xfrm>
                    <a:prstGeom prst="rect">
                      <a:avLst/>
                    </a:prstGeom>
                    <a:noFill/>
                    <a:ln w="9525">
                      <a:noFill/>
                      <a:miter lim="800000"/>
                      <a:headEnd/>
                      <a:tailEnd/>
                    </a:ln>
                  </pic:spPr>
                </pic:pic>
              </a:graphicData>
            </a:graphic>
          </wp:inline>
        </w:drawing>
      </w:r>
    </w:p>
    <w:p w:rsidR="0080681C" w:rsidRPr="00A1697C" w:rsidRDefault="0080681C" w:rsidP="00897F2F">
      <w:pPr>
        <w:pStyle w:val="Caption"/>
        <w:jc w:val="center"/>
        <w:rPr>
          <w:b w:val="0"/>
        </w:rPr>
      </w:pPr>
      <w:r w:rsidRPr="00A1697C">
        <w:rPr>
          <w:b w:val="0"/>
        </w:rPr>
        <w:t xml:space="preserve">Figure </w:t>
      </w:r>
      <w:r w:rsidR="0009335D" w:rsidRPr="00A1697C">
        <w:rPr>
          <w:b w:val="0"/>
        </w:rPr>
        <w:fldChar w:fldCharType="begin"/>
      </w:r>
      <w:r w:rsidR="0009335D" w:rsidRPr="00A1697C">
        <w:rPr>
          <w:b w:val="0"/>
        </w:rPr>
        <w:instrText xml:space="preserve"> SEQ Figure \* ARABIC </w:instrText>
      </w:r>
      <w:r w:rsidR="0009335D" w:rsidRPr="00A1697C">
        <w:rPr>
          <w:b w:val="0"/>
        </w:rPr>
        <w:fldChar w:fldCharType="separate"/>
      </w:r>
      <w:r w:rsidR="00E20340" w:rsidRPr="00A1697C">
        <w:rPr>
          <w:b w:val="0"/>
          <w:noProof/>
        </w:rPr>
        <w:t>5</w:t>
      </w:r>
      <w:r w:rsidR="0009335D" w:rsidRPr="00A1697C">
        <w:rPr>
          <w:b w:val="0"/>
        </w:rPr>
        <w:fldChar w:fldCharType="end"/>
      </w:r>
      <w:r w:rsidRPr="00A1697C">
        <w:rPr>
          <w:b w:val="0"/>
        </w:rPr>
        <w:t xml:space="preserve"> – Designing the symbol structure for symbol level alignment</w:t>
      </w:r>
      <w:r w:rsidR="00897F2F" w:rsidRPr="00A1697C">
        <w:rPr>
          <w:b w:val="0"/>
        </w:rPr>
        <w:t xml:space="preserve"> for SCS</w:t>
      </w:r>
      <w:r w:rsidR="00A1697C">
        <w:rPr>
          <w:b w:val="0"/>
        </w:rPr>
        <w:t xml:space="preserve"> </w:t>
      </w:r>
      <w:r w:rsidR="00897F2F" w:rsidRPr="00A1697C">
        <w:rPr>
          <w:b w:val="0"/>
        </w:rPr>
        <w:t>=</w:t>
      </w:r>
      <w:r w:rsidR="00A1697C">
        <w:rPr>
          <w:b w:val="0"/>
        </w:rPr>
        <w:t xml:space="preserve"> </w:t>
      </w:r>
      <w:r w:rsidR="00897F2F" w:rsidRPr="00A1697C">
        <w:rPr>
          <w:b w:val="0"/>
        </w:rPr>
        <w:t>7.5 kHz and SCS</w:t>
      </w:r>
      <w:r w:rsidR="00A1697C">
        <w:rPr>
          <w:b w:val="0"/>
        </w:rPr>
        <w:t xml:space="preserve"> </w:t>
      </w:r>
      <w:r w:rsidR="00897F2F" w:rsidRPr="00A1697C">
        <w:rPr>
          <w:b w:val="0"/>
        </w:rPr>
        <w:t>=</w:t>
      </w:r>
      <w:r w:rsidR="00A1697C">
        <w:rPr>
          <w:b w:val="0"/>
        </w:rPr>
        <w:t xml:space="preserve"> </w:t>
      </w:r>
      <w:r w:rsidR="00897F2F" w:rsidRPr="00A1697C">
        <w:rPr>
          <w:b w:val="0"/>
        </w:rPr>
        <w:t>3.75 kHz</w:t>
      </w:r>
      <w:r w:rsidRPr="00A1697C">
        <w:rPr>
          <w:b w:val="0"/>
        </w:rPr>
        <w:t>, starting from the NCP reference numerology at SCSref</w:t>
      </w:r>
      <w:r w:rsidR="00A1697C">
        <w:rPr>
          <w:b w:val="0"/>
        </w:rPr>
        <w:t xml:space="preserve"> </w:t>
      </w:r>
      <w:r w:rsidRPr="00A1697C">
        <w:rPr>
          <w:b w:val="0"/>
        </w:rPr>
        <w:t>=</w:t>
      </w:r>
      <w:r w:rsidR="00A1697C">
        <w:rPr>
          <w:b w:val="0"/>
        </w:rPr>
        <w:t xml:space="preserve"> </w:t>
      </w:r>
      <w:r w:rsidRPr="00A1697C">
        <w:rPr>
          <w:b w:val="0"/>
        </w:rPr>
        <w:t>15 kHz</w:t>
      </w:r>
    </w:p>
    <w:p w:rsidR="0080681C" w:rsidRDefault="0080681C" w:rsidP="0006799E">
      <w:pPr>
        <w:spacing w:line="240" w:lineRule="auto"/>
      </w:pPr>
    </w:p>
    <w:p w:rsidR="00897F2F" w:rsidRDefault="00897F2F" w:rsidP="00D0360C">
      <w:pPr>
        <w:spacing w:line="240" w:lineRule="auto"/>
        <w:rPr>
          <w:i/>
          <w:lang w:val="en-GB" w:eastAsia="en-US"/>
        </w:rPr>
      </w:pPr>
      <w:r>
        <w:rPr>
          <w:b/>
          <w:i/>
          <w:u w:val="single"/>
          <w:lang w:val="en-GB" w:eastAsia="en-US"/>
        </w:rPr>
        <w:t>Proposal 3</w:t>
      </w:r>
      <w:r w:rsidRPr="00CD478F">
        <w:rPr>
          <w:b/>
          <w:i/>
          <w:u w:val="single"/>
          <w:lang w:val="en-GB" w:eastAsia="en-US"/>
        </w:rPr>
        <w:t>:</w:t>
      </w:r>
      <w:r w:rsidRPr="00CD478F">
        <w:rPr>
          <w:i/>
          <w:lang w:val="en-GB" w:eastAsia="en-US"/>
        </w:rPr>
        <w:t xml:space="preserve"> </w:t>
      </w:r>
      <w:r>
        <w:rPr>
          <w:i/>
          <w:lang w:val="en-GB" w:eastAsia="en-US"/>
        </w:rPr>
        <w:t xml:space="preserve">The symbol structure for SCS other than the SCSref shall be designed to maintain symbol level </w:t>
      </w:r>
      <w:r w:rsidR="00852480">
        <w:rPr>
          <w:i/>
          <w:lang w:val="en-GB" w:eastAsia="en-US"/>
        </w:rPr>
        <w:t xml:space="preserve">alignment </w:t>
      </w:r>
      <w:r>
        <w:rPr>
          <w:i/>
          <w:lang w:val="en-GB" w:eastAsia="en-US"/>
        </w:rPr>
        <w:t>across scaled numerologies within the same CP family, such that</w:t>
      </w:r>
    </w:p>
    <w:p w:rsidR="00897F2F" w:rsidRDefault="00897F2F" w:rsidP="00D0360C">
      <w:pPr>
        <w:pStyle w:val="ListParagraph"/>
        <w:numPr>
          <w:ilvl w:val="0"/>
          <w:numId w:val="40"/>
        </w:numPr>
        <w:spacing w:line="240" w:lineRule="auto"/>
        <w:ind w:firstLineChars="0"/>
        <w:rPr>
          <w:i/>
          <w:lang w:val="en-GB" w:eastAsia="en-US"/>
        </w:rPr>
      </w:pPr>
      <w:r>
        <w:rPr>
          <w:i/>
          <w:lang w:val="en-GB" w:eastAsia="en-US"/>
        </w:rPr>
        <w:t>Adopt</w:t>
      </w:r>
      <w:r w:rsidR="00852480">
        <w:rPr>
          <w:i/>
          <w:lang w:val="en-GB" w:eastAsia="en-US"/>
        </w:rPr>
        <w:t xml:space="preserve"> </w:t>
      </w:r>
      <w:r>
        <w:rPr>
          <w:i/>
          <w:lang w:val="en-GB" w:eastAsia="en-US"/>
        </w:rPr>
        <w:t>NCP for SCSref = 15kHz</w:t>
      </w:r>
    </w:p>
    <w:p w:rsidR="00897F2F" w:rsidRDefault="00897F2F" w:rsidP="00D0360C">
      <w:pPr>
        <w:pStyle w:val="ListParagraph"/>
        <w:numPr>
          <w:ilvl w:val="0"/>
          <w:numId w:val="40"/>
        </w:numPr>
        <w:spacing w:line="240" w:lineRule="auto"/>
        <w:ind w:firstLineChars="0"/>
        <w:rPr>
          <w:i/>
          <w:lang w:val="en-GB" w:eastAsia="en-US"/>
        </w:rPr>
      </w:pPr>
      <w:r>
        <w:rPr>
          <w:i/>
          <w:lang w:val="en-GB" w:eastAsia="en-US"/>
        </w:rPr>
        <w:t>For SCS larger than SCSref</w:t>
      </w:r>
    </w:p>
    <w:p w:rsidR="00897F2F" w:rsidRDefault="00897F2F" w:rsidP="00D0360C">
      <w:pPr>
        <w:pStyle w:val="ListParagraph"/>
        <w:numPr>
          <w:ilvl w:val="1"/>
          <w:numId w:val="40"/>
        </w:numPr>
        <w:spacing w:line="240" w:lineRule="auto"/>
        <w:ind w:firstLineChars="0"/>
        <w:rPr>
          <w:i/>
          <w:lang w:val="en-GB" w:eastAsia="en-US"/>
        </w:rPr>
      </w:pPr>
      <w:r>
        <w:rPr>
          <w:i/>
          <w:lang w:val="en-GB" w:eastAsia="en-US"/>
        </w:rPr>
        <w:t xml:space="preserve">When going to the next larger SCS, split the “shorter” symbol </w:t>
      </w:r>
      <w:r w:rsidR="00852480">
        <w:rPr>
          <w:i/>
          <w:lang w:val="en-GB" w:eastAsia="en-US"/>
        </w:rPr>
        <w:t xml:space="preserve">duration “Ts_lowSCS” </w:t>
      </w:r>
      <w:r>
        <w:rPr>
          <w:i/>
          <w:lang w:val="en-GB" w:eastAsia="en-US"/>
        </w:rPr>
        <w:t>of the numerology with</w:t>
      </w:r>
      <w:r w:rsidR="00852480">
        <w:rPr>
          <w:i/>
          <w:lang w:val="en-GB" w:eastAsia="en-US"/>
        </w:rPr>
        <w:t xml:space="preserve"> lower SCS into two </w:t>
      </w:r>
      <w:r>
        <w:rPr>
          <w:i/>
          <w:lang w:val="en-GB" w:eastAsia="en-US"/>
        </w:rPr>
        <w:t>symbols</w:t>
      </w:r>
      <w:r w:rsidR="00852480">
        <w:rPr>
          <w:i/>
          <w:lang w:val="en-GB" w:eastAsia="en-US"/>
        </w:rPr>
        <w:t xml:space="preserve"> of equally long duration, Ts_highSCS</w:t>
      </w:r>
      <w:r w:rsidR="0098388F">
        <w:rPr>
          <w:i/>
          <w:lang w:val="en-GB" w:eastAsia="en-US"/>
        </w:rPr>
        <w:t xml:space="preserve"> </w:t>
      </w:r>
      <w:r w:rsidR="00852480">
        <w:rPr>
          <w:i/>
          <w:lang w:val="en-GB" w:eastAsia="en-US"/>
        </w:rPr>
        <w:t>=</w:t>
      </w:r>
      <w:r w:rsidR="0098388F">
        <w:rPr>
          <w:i/>
          <w:lang w:val="en-GB" w:eastAsia="en-US"/>
        </w:rPr>
        <w:t xml:space="preserve"> </w:t>
      </w:r>
      <w:r w:rsidR="00852480">
        <w:rPr>
          <w:i/>
          <w:lang w:val="en-GB" w:eastAsia="en-US"/>
        </w:rPr>
        <w:t>0.5Ts_lowSCS</w:t>
      </w:r>
    </w:p>
    <w:p w:rsidR="00897F2F" w:rsidRPr="00897F2F" w:rsidRDefault="00897F2F" w:rsidP="00D0360C">
      <w:pPr>
        <w:pStyle w:val="ListParagraph"/>
        <w:numPr>
          <w:ilvl w:val="1"/>
          <w:numId w:val="40"/>
        </w:numPr>
        <w:spacing w:line="240" w:lineRule="auto"/>
        <w:ind w:firstLineChars="0"/>
        <w:rPr>
          <w:i/>
          <w:lang w:val="en-GB" w:eastAsia="en-US"/>
        </w:rPr>
      </w:pPr>
      <w:r>
        <w:rPr>
          <w:i/>
          <w:lang w:val="en-GB" w:eastAsia="en-US"/>
        </w:rPr>
        <w:t xml:space="preserve">Split the “longer” symbol </w:t>
      </w:r>
      <w:r w:rsidR="00852480">
        <w:rPr>
          <w:i/>
          <w:lang w:val="en-GB" w:eastAsia="en-US"/>
        </w:rPr>
        <w:t xml:space="preserve">duration “Tl_lowSCS” </w:t>
      </w:r>
      <w:r>
        <w:rPr>
          <w:i/>
          <w:lang w:val="en-GB" w:eastAsia="en-US"/>
        </w:rPr>
        <w:t xml:space="preserve">of the numerology with the lower SCS into two symbols where the duration of the second </w:t>
      </w:r>
      <w:r w:rsidR="00852480">
        <w:rPr>
          <w:i/>
          <w:lang w:val="en-GB" w:eastAsia="en-US"/>
        </w:rPr>
        <w:t xml:space="preserve">one </w:t>
      </w:r>
      <w:r w:rsidR="00810598">
        <w:rPr>
          <w:i/>
          <w:lang w:val="en-GB" w:eastAsia="en-US"/>
        </w:rPr>
        <w:t>equals the splitted</w:t>
      </w:r>
      <w:r>
        <w:rPr>
          <w:i/>
          <w:lang w:val="en-GB" w:eastAsia="en-US"/>
        </w:rPr>
        <w:t xml:space="preserve"> shorter symbol</w:t>
      </w:r>
      <w:r w:rsidR="00852480">
        <w:rPr>
          <w:i/>
          <w:lang w:val="en-GB" w:eastAsia="en-US"/>
        </w:rPr>
        <w:t xml:space="preserve"> duration “Ts_highSCS”</w:t>
      </w:r>
      <w:r>
        <w:rPr>
          <w:i/>
          <w:lang w:val="en-GB" w:eastAsia="en-US"/>
        </w:rPr>
        <w:t xml:space="preserve"> </w:t>
      </w:r>
      <w:r w:rsidR="00852480">
        <w:rPr>
          <w:i/>
          <w:lang w:val="en-GB" w:eastAsia="en-US"/>
        </w:rPr>
        <w:t>and the duration of the longer symbol becomes Tl_highSCS</w:t>
      </w:r>
      <w:r w:rsidR="0098388F">
        <w:rPr>
          <w:i/>
          <w:lang w:val="en-GB" w:eastAsia="en-US"/>
        </w:rPr>
        <w:t xml:space="preserve"> </w:t>
      </w:r>
      <w:r w:rsidR="00852480">
        <w:rPr>
          <w:i/>
          <w:lang w:val="en-GB" w:eastAsia="en-US"/>
        </w:rPr>
        <w:t>=</w:t>
      </w:r>
      <w:r w:rsidR="0098388F">
        <w:rPr>
          <w:i/>
          <w:lang w:val="en-GB" w:eastAsia="en-US"/>
        </w:rPr>
        <w:t xml:space="preserve"> </w:t>
      </w:r>
      <w:r w:rsidR="00852480">
        <w:rPr>
          <w:i/>
          <w:lang w:val="en-GB" w:eastAsia="en-US"/>
        </w:rPr>
        <w:t xml:space="preserve">Tl_lowSCS-Ts_highSCS </w:t>
      </w:r>
      <w:r>
        <w:rPr>
          <w:i/>
          <w:lang w:val="en-GB" w:eastAsia="en-US"/>
        </w:rPr>
        <w:t xml:space="preserve">   </w:t>
      </w:r>
    </w:p>
    <w:p w:rsidR="00897F2F" w:rsidRDefault="00897F2F" w:rsidP="00D0360C">
      <w:pPr>
        <w:spacing w:line="240" w:lineRule="auto"/>
        <w:rPr>
          <w:i/>
          <w:lang w:val="en-GB" w:eastAsia="en-US"/>
        </w:rPr>
      </w:pPr>
    </w:p>
    <w:p w:rsidR="00070277" w:rsidRPr="00D0360C" w:rsidRDefault="00D0360C" w:rsidP="00D0360C">
      <w:pPr>
        <w:pStyle w:val="ListParagraph"/>
        <w:numPr>
          <w:ilvl w:val="0"/>
          <w:numId w:val="39"/>
        </w:numPr>
        <w:spacing w:line="240" w:lineRule="auto"/>
        <w:ind w:firstLineChars="0"/>
        <w:rPr>
          <w:i/>
          <w:lang w:val="en-GB" w:eastAsia="en-US"/>
        </w:rPr>
      </w:pPr>
      <w:r>
        <w:rPr>
          <w:i/>
          <w:lang w:val="en-GB" w:eastAsia="en-US"/>
        </w:rPr>
        <w:t xml:space="preserve">For SCS smaller than SCSref, the symbol durations for the lower SCS are obtained by adding the durations of the two corresponding symbols of the higher SCS </w:t>
      </w:r>
    </w:p>
    <w:p w:rsidR="00D0360C" w:rsidRDefault="00D0360C" w:rsidP="00070277">
      <w:pPr>
        <w:spacing w:line="240" w:lineRule="exact"/>
        <w:rPr>
          <w:lang w:val="en-GB"/>
        </w:rPr>
      </w:pPr>
    </w:p>
    <w:p w:rsidR="00070277" w:rsidRDefault="00D0360C" w:rsidP="00070277">
      <w:pPr>
        <w:spacing w:line="240" w:lineRule="exact"/>
      </w:pPr>
      <w:r>
        <w:t>The symbol durations for diffe</w:t>
      </w:r>
      <w:r w:rsidR="00810598">
        <w:t>rent SCS are summarized in T</w:t>
      </w:r>
      <w:r>
        <w:t>able</w:t>
      </w:r>
      <w:r w:rsidR="00810598">
        <w:t xml:space="preserve"> 1</w:t>
      </w:r>
      <w:r>
        <w:t xml:space="preserve"> below, please note that symbol 0 can have two different durations, due to the symbol alignment across scaled numerologies. </w:t>
      </w:r>
    </w:p>
    <w:p w:rsidR="00E57329" w:rsidRDefault="00E57329" w:rsidP="00070277">
      <w:pPr>
        <w:spacing w:line="240" w:lineRule="exact"/>
      </w:pPr>
    </w:p>
    <w:tbl>
      <w:tblPr>
        <w:tblStyle w:val="TableGrid"/>
        <w:tblW w:w="0" w:type="auto"/>
        <w:tblLook w:val="04A0"/>
      </w:tblPr>
      <w:tblGrid>
        <w:gridCol w:w="1098"/>
        <w:gridCol w:w="1175"/>
        <w:gridCol w:w="873"/>
        <w:gridCol w:w="661"/>
        <w:gridCol w:w="873"/>
        <w:gridCol w:w="661"/>
        <w:gridCol w:w="873"/>
        <w:gridCol w:w="661"/>
        <w:gridCol w:w="2367"/>
      </w:tblGrid>
      <w:tr w:rsidR="004B321C" w:rsidTr="0098388F">
        <w:tc>
          <w:tcPr>
            <w:tcW w:w="1098" w:type="dxa"/>
            <w:tcBorders>
              <w:bottom w:val="single" w:sz="4" w:space="0" w:color="000000" w:themeColor="text1"/>
              <w:right w:val="single" w:sz="18" w:space="0" w:color="000000" w:themeColor="text1"/>
            </w:tcBorders>
          </w:tcPr>
          <w:p w:rsidR="004B321C" w:rsidRPr="0098388F" w:rsidRDefault="004B321C" w:rsidP="00070277">
            <w:pPr>
              <w:spacing w:line="240" w:lineRule="exact"/>
              <w:rPr>
                <w:szCs w:val="20"/>
              </w:rPr>
            </w:pPr>
          </w:p>
        </w:tc>
        <w:tc>
          <w:tcPr>
            <w:tcW w:w="5777" w:type="dxa"/>
            <w:gridSpan w:val="7"/>
            <w:tcBorders>
              <w:left w:val="single" w:sz="18" w:space="0" w:color="000000" w:themeColor="text1"/>
              <w:bottom w:val="single" w:sz="4" w:space="0" w:color="000000" w:themeColor="text1"/>
              <w:right w:val="single" w:sz="4" w:space="0" w:color="000000" w:themeColor="text1"/>
            </w:tcBorders>
          </w:tcPr>
          <w:p w:rsidR="004B321C" w:rsidRPr="0098388F" w:rsidRDefault="004B321C" w:rsidP="00005A6E">
            <w:pPr>
              <w:spacing w:line="240" w:lineRule="exact"/>
              <w:jc w:val="center"/>
              <w:rPr>
                <w:szCs w:val="20"/>
              </w:rPr>
            </w:pPr>
            <w:r w:rsidRPr="0098388F">
              <w:rPr>
                <w:szCs w:val="20"/>
              </w:rPr>
              <w:t>Symbol number</w:t>
            </w:r>
          </w:p>
        </w:tc>
        <w:tc>
          <w:tcPr>
            <w:tcW w:w="2367" w:type="dxa"/>
            <w:tcBorders>
              <w:left w:val="single" w:sz="4" w:space="0" w:color="000000" w:themeColor="text1"/>
              <w:bottom w:val="single" w:sz="4" w:space="0" w:color="000000" w:themeColor="text1"/>
            </w:tcBorders>
          </w:tcPr>
          <w:p w:rsidR="004B321C" w:rsidRPr="0098388F" w:rsidRDefault="004B321C" w:rsidP="00005A6E">
            <w:pPr>
              <w:spacing w:line="240" w:lineRule="exact"/>
              <w:jc w:val="center"/>
              <w:rPr>
                <w:szCs w:val="20"/>
              </w:rPr>
            </w:pPr>
          </w:p>
        </w:tc>
      </w:tr>
      <w:tr w:rsidR="004B321C" w:rsidTr="0098388F">
        <w:tc>
          <w:tcPr>
            <w:tcW w:w="1098" w:type="dxa"/>
            <w:tcBorders>
              <w:bottom w:val="single" w:sz="18" w:space="0" w:color="000000" w:themeColor="text1"/>
              <w:right w:val="single" w:sz="18" w:space="0" w:color="000000" w:themeColor="text1"/>
            </w:tcBorders>
          </w:tcPr>
          <w:p w:rsidR="004B321C" w:rsidRPr="0098388F" w:rsidRDefault="004B321C" w:rsidP="00070277">
            <w:pPr>
              <w:spacing w:line="240" w:lineRule="exact"/>
              <w:rPr>
                <w:szCs w:val="20"/>
              </w:rPr>
            </w:pPr>
            <w:r w:rsidRPr="0098388F">
              <w:rPr>
                <w:szCs w:val="20"/>
              </w:rPr>
              <w:t>SCS</w:t>
            </w:r>
            <w:r w:rsidR="0098388F" w:rsidRPr="0098388F">
              <w:rPr>
                <w:szCs w:val="20"/>
              </w:rPr>
              <w:t xml:space="preserve"> </w:t>
            </w:r>
            <w:r w:rsidRPr="0098388F">
              <w:rPr>
                <w:szCs w:val="20"/>
              </w:rPr>
              <w:t>[kHz]</w:t>
            </w:r>
          </w:p>
        </w:tc>
        <w:tc>
          <w:tcPr>
            <w:tcW w:w="1175" w:type="dxa"/>
            <w:tcBorders>
              <w:left w:val="single" w:sz="18" w:space="0" w:color="000000" w:themeColor="text1"/>
              <w:bottom w:val="single" w:sz="18" w:space="0" w:color="000000" w:themeColor="text1"/>
            </w:tcBorders>
          </w:tcPr>
          <w:p w:rsidR="004B321C" w:rsidRPr="0098388F" w:rsidRDefault="004B321C" w:rsidP="00070277">
            <w:pPr>
              <w:spacing w:line="240" w:lineRule="exact"/>
              <w:rPr>
                <w:szCs w:val="20"/>
              </w:rPr>
            </w:pPr>
            <w:r w:rsidRPr="0098388F">
              <w:rPr>
                <w:szCs w:val="20"/>
              </w:rPr>
              <w:t>0</w:t>
            </w:r>
          </w:p>
        </w:tc>
        <w:tc>
          <w:tcPr>
            <w:tcW w:w="873" w:type="dxa"/>
            <w:tcBorders>
              <w:bottom w:val="single" w:sz="18" w:space="0" w:color="000000" w:themeColor="text1"/>
            </w:tcBorders>
          </w:tcPr>
          <w:p w:rsidR="004B321C" w:rsidRPr="0098388F" w:rsidRDefault="004B321C" w:rsidP="00070277">
            <w:pPr>
              <w:spacing w:line="240" w:lineRule="exact"/>
              <w:rPr>
                <w:szCs w:val="20"/>
              </w:rPr>
            </w:pPr>
            <w:r w:rsidRPr="0098388F">
              <w:rPr>
                <w:szCs w:val="20"/>
              </w:rPr>
              <w:t>1</w:t>
            </w:r>
          </w:p>
        </w:tc>
        <w:tc>
          <w:tcPr>
            <w:tcW w:w="661" w:type="dxa"/>
            <w:tcBorders>
              <w:bottom w:val="single" w:sz="18" w:space="0" w:color="000000" w:themeColor="text1"/>
            </w:tcBorders>
          </w:tcPr>
          <w:p w:rsidR="004B321C" w:rsidRPr="0098388F" w:rsidRDefault="004B321C" w:rsidP="00070277">
            <w:pPr>
              <w:spacing w:line="240" w:lineRule="exact"/>
              <w:rPr>
                <w:szCs w:val="20"/>
              </w:rPr>
            </w:pPr>
            <w:r w:rsidRPr="0098388F">
              <w:rPr>
                <w:szCs w:val="20"/>
              </w:rPr>
              <w:t>2</w:t>
            </w:r>
          </w:p>
        </w:tc>
        <w:tc>
          <w:tcPr>
            <w:tcW w:w="873" w:type="dxa"/>
            <w:tcBorders>
              <w:bottom w:val="single" w:sz="18" w:space="0" w:color="000000" w:themeColor="text1"/>
            </w:tcBorders>
          </w:tcPr>
          <w:p w:rsidR="004B321C" w:rsidRPr="0098388F" w:rsidRDefault="004B321C" w:rsidP="00070277">
            <w:pPr>
              <w:spacing w:line="240" w:lineRule="exact"/>
              <w:rPr>
                <w:szCs w:val="20"/>
              </w:rPr>
            </w:pPr>
            <w:r w:rsidRPr="0098388F">
              <w:rPr>
                <w:szCs w:val="20"/>
              </w:rPr>
              <w:t>3</w:t>
            </w:r>
          </w:p>
        </w:tc>
        <w:tc>
          <w:tcPr>
            <w:tcW w:w="661" w:type="dxa"/>
            <w:tcBorders>
              <w:bottom w:val="single" w:sz="18" w:space="0" w:color="000000" w:themeColor="text1"/>
            </w:tcBorders>
          </w:tcPr>
          <w:p w:rsidR="004B321C" w:rsidRPr="0098388F" w:rsidRDefault="004B321C" w:rsidP="00070277">
            <w:pPr>
              <w:spacing w:line="240" w:lineRule="exact"/>
              <w:rPr>
                <w:szCs w:val="20"/>
              </w:rPr>
            </w:pPr>
            <w:r w:rsidRPr="0098388F">
              <w:rPr>
                <w:szCs w:val="20"/>
              </w:rPr>
              <w:t>4</w:t>
            </w:r>
          </w:p>
        </w:tc>
        <w:tc>
          <w:tcPr>
            <w:tcW w:w="873" w:type="dxa"/>
            <w:tcBorders>
              <w:bottom w:val="single" w:sz="18" w:space="0" w:color="000000" w:themeColor="text1"/>
            </w:tcBorders>
          </w:tcPr>
          <w:p w:rsidR="004B321C" w:rsidRPr="0098388F" w:rsidRDefault="004B321C" w:rsidP="00070277">
            <w:pPr>
              <w:spacing w:line="240" w:lineRule="exact"/>
              <w:rPr>
                <w:szCs w:val="20"/>
              </w:rPr>
            </w:pPr>
            <w:r w:rsidRPr="0098388F">
              <w:rPr>
                <w:szCs w:val="20"/>
              </w:rPr>
              <w:t>5</w:t>
            </w:r>
          </w:p>
        </w:tc>
        <w:tc>
          <w:tcPr>
            <w:tcW w:w="661" w:type="dxa"/>
            <w:tcBorders>
              <w:bottom w:val="single" w:sz="18" w:space="0" w:color="000000" w:themeColor="text1"/>
            </w:tcBorders>
          </w:tcPr>
          <w:p w:rsidR="004B321C" w:rsidRPr="0098388F" w:rsidRDefault="004B321C" w:rsidP="00070277">
            <w:pPr>
              <w:spacing w:line="240" w:lineRule="exact"/>
              <w:rPr>
                <w:szCs w:val="20"/>
              </w:rPr>
            </w:pPr>
            <w:r w:rsidRPr="0098388F">
              <w:rPr>
                <w:szCs w:val="20"/>
              </w:rPr>
              <w:t>6</w:t>
            </w:r>
          </w:p>
        </w:tc>
        <w:tc>
          <w:tcPr>
            <w:tcW w:w="2367" w:type="dxa"/>
            <w:tcBorders>
              <w:bottom w:val="single" w:sz="18" w:space="0" w:color="000000" w:themeColor="text1"/>
            </w:tcBorders>
          </w:tcPr>
          <w:p w:rsidR="004B321C" w:rsidRPr="0098388F" w:rsidRDefault="004B321C" w:rsidP="004B321C">
            <w:pPr>
              <w:spacing w:line="240" w:lineRule="exact"/>
              <w:jc w:val="center"/>
              <w:rPr>
                <w:szCs w:val="20"/>
              </w:rPr>
            </w:pPr>
            <w:r w:rsidRPr="0098388F">
              <w:rPr>
                <w:szCs w:val="20"/>
              </w:rPr>
              <w:t>Comment</w:t>
            </w:r>
          </w:p>
        </w:tc>
      </w:tr>
      <w:tr w:rsidR="004B321C" w:rsidTr="0098388F">
        <w:tc>
          <w:tcPr>
            <w:tcW w:w="1098" w:type="dxa"/>
            <w:tcBorders>
              <w:top w:val="single" w:sz="18" w:space="0" w:color="000000" w:themeColor="text1"/>
              <w:right w:val="single" w:sz="18" w:space="0" w:color="000000" w:themeColor="text1"/>
            </w:tcBorders>
          </w:tcPr>
          <w:p w:rsidR="004B321C" w:rsidRPr="0098388F" w:rsidRDefault="004B321C" w:rsidP="00070277">
            <w:pPr>
              <w:spacing w:line="240" w:lineRule="exact"/>
              <w:rPr>
                <w:szCs w:val="20"/>
              </w:rPr>
            </w:pPr>
            <w:r w:rsidRPr="0098388F">
              <w:rPr>
                <w:szCs w:val="20"/>
              </w:rPr>
              <w:t>3.75</w:t>
            </w:r>
          </w:p>
        </w:tc>
        <w:tc>
          <w:tcPr>
            <w:tcW w:w="1175" w:type="dxa"/>
            <w:tcBorders>
              <w:top w:val="single" w:sz="18" w:space="0" w:color="000000" w:themeColor="text1"/>
              <w:left w:val="single" w:sz="18" w:space="0" w:color="000000" w:themeColor="text1"/>
            </w:tcBorders>
          </w:tcPr>
          <w:p w:rsidR="004B321C" w:rsidRPr="004B321C" w:rsidRDefault="004B321C" w:rsidP="00207C51">
            <w:pPr>
              <w:spacing w:line="240" w:lineRule="exact"/>
              <w:rPr>
                <w:szCs w:val="20"/>
              </w:rPr>
            </w:pPr>
            <w:r w:rsidRPr="004B321C">
              <w:rPr>
                <w:szCs w:val="20"/>
              </w:rPr>
              <w:t>T1+3T</w:t>
            </w:r>
          </w:p>
        </w:tc>
        <w:tc>
          <w:tcPr>
            <w:tcW w:w="873" w:type="dxa"/>
            <w:tcBorders>
              <w:top w:val="single" w:sz="18" w:space="0" w:color="000000" w:themeColor="text1"/>
            </w:tcBorders>
          </w:tcPr>
          <w:p w:rsidR="004B321C" w:rsidRPr="004B321C" w:rsidRDefault="004B321C" w:rsidP="00207C51">
            <w:pPr>
              <w:spacing w:line="240" w:lineRule="exact"/>
              <w:rPr>
                <w:szCs w:val="20"/>
              </w:rPr>
            </w:pPr>
            <w:r w:rsidRPr="004B321C">
              <w:rPr>
                <w:szCs w:val="20"/>
              </w:rPr>
              <w:t>T1+3T</w:t>
            </w:r>
          </w:p>
        </w:tc>
        <w:tc>
          <w:tcPr>
            <w:tcW w:w="661" w:type="dxa"/>
            <w:tcBorders>
              <w:top w:val="single" w:sz="18" w:space="0" w:color="000000" w:themeColor="text1"/>
            </w:tcBorders>
          </w:tcPr>
          <w:p w:rsidR="004B321C" w:rsidRPr="004B321C" w:rsidRDefault="004B321C" w:rsidP="00207C51">
            <w:pPr>
              <w:spacing w:line="240" w:lineRule="exact"/>
              <w:rPr>
                <w:szCs w:val="20"/>
              </w:rPr>
            </w:pPr>
            <w:r w:rsidRPr="004B321C">
              <w:rPr>
                <w:szCs w:val="20"/>
              </w:rPr>
              <w:t>4T</w:t>
            </w:r>
          </w:p>
        </w:tc>
        <w:tc>
          <w:tcPr>
            <w:tcW w:w="873" w:type="dxa"/>
            <w:tcBorders>
              <w:top w:val="single" w:sz="18" w:space="0" w:color="000000" w:themeColor="text1"/>
            </w:tcBorders>
          </w:tcPr>
          <w:p w:rsidR="004B321C" w:rsidRPr="004B321C" w:rsidRDefault="004B321C" w:rsidP="00207C51">
            <w:pPr>
              <w:spacing w:line="240" w:lineRule="exact"/>
              <w:rPr>
                <w:szCs w:val="20"/>
              </w:rPr>
            </w:pPr>
            <w:r w:rsidRPr="004B321C">
              <w:rPr>
                <w:szCs w:val="20"/>
              </w:rPr>
              <w:t>T1+3T</w:t>
            </w:r>
          </w:p>
        </w:tc>
        <w:tc>
          <w:tcPr>
            <w:tcW w:w="661" w:type="dxa"/>
            <w:tcBorders>
              <w:top w:val="single" w:sz="18" w:space="0" w:color="000000" w:themeColor="text1"/>
            </w:tcBorders>
          </w:tcPr>
          <w:p w:rsidR="004B321C" w:rsidRPr="004B321C" w:rsidRDefault="004B321C" w:rsidP="00207C51">
            <w:pPr>
              <w:spacing w:line="240" w:lineRule="exact"/>
              <w:rPr>
                <w:szCs w:val="20"/>
              </w:rPr>
            </w:pPr>
            <w:r w:rsidRPr="004B321C">
              <w:rPr>
                <w:szCs w:val="20"/>
              </w:rPr>
              <w:t>4T</w:t>
            </w:r>
          </w:p>
        </w:tc>
        <w:tc>
          <w:tcPr>
            <w:tcW w:w="873" w:type="dxa"/>
            <w:tcBorders>
              <w:top w:val="single" w:sz="18" w:space="0" w:color="000000" w:themeColor="text1"/>
            </w:tcBorders>
          </w:tcPr>
          <w:p w:rsidR="004B321C" w:rsidRPr="004B321C" w:rsidRDefault="004B321C" w:rsidP="00207C51">
            <w:pPr>
              <w:spacing w:line="240" w:lineRule="exact"/>
              <w:rPr>
                <w:szCs w:val="20"/>
              </w:rPr>
            </w:pPr>
            <w:r w:rsidRPr="004B321C">
              <w:rPr>
                <w:szCs w:val="20"/>
              </w:rPr>
              <w:t>T1+3T</w:t>
            </w:r>
          </w:p>
        </w:tc>
        <w:tc>
          <w:tcPr>
            <w:tcW w:w="661" w:type="dxa"/>
            <w:tcBorders>
              <w:top w:val="single" w:sz="18" w:space="0" w:color="000000" w:themeColor="text1"/>
            </w:tcBorders>
          </w:tcPr>
          <w:p w:rsidR="004B321C" w:rsidRPr="004B321C" w:rsidRDefault="004B321C" w:rsidP="00070277">
            <w:pPr>
              <w:spacing w:line="240" w:lineRule="exact"/>
              <w:rPr>
                <w:szCs w:val="20"/>
              </w:rPr>
            </w:pPr>
            <w:r w:rsidRPr="004B321C">
              <w:rPr>
                <w:szCs w:val="20"/>
              </w:rPr>
              <w:t>4T</w:t>
            </w:r>
          </w:p>
        </w:tc>
        <w:tc>
          <w:tcPr>
            <w:tcW w:w="2367" w:type="dxa"/>
            <w:tcBorders>
              <w:top w:val="single" w:sz="18" w:space="0" w:color="000000" w:themeColor="text1"/>
            </w:tcBorders>
          </w:tcPr>
          <w:p w:rsidR="004B321C" w:rsidRPr="004B321C" w:rsidRDefault="004B321C" w:rsidP="00070277">
            <w:pPr>
              <w:spacing w:line="240" w:lineRule="exact"/>
              <w:rPr>
                <w:szCs w:val="20"/>
              </w:rPr>
            </w:pP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szCs w:val="20"/>
              </w:rPr>
            </w:pPr>
            <w:r w:rsidRPr="0098388F">
              <w:rPr>
                <w:szCs w:val="20"/>
              </w:rPr>
              <w:t>7.5</w:t>
            </w:r>
          </w:p>
        </w:tc>
        <w:tc>
          <w:tcPr>
            <w:tcW w:w="1175" w:type="dxa"/>
            <w:tcBorders>
              <w:left w:val="single" w:sz="18" w:space="0" w:color="000000" w:themeColor="text1"/>
            </w:tcBorders>
          </w:tcPr>
          <w:p w:rsidR="004B321C" w:rsidRPr="004B321C" w:rsidRDefault="004B321C" w:rsidP="00070277">
            <w:pPr>
              <w:spacing w:line="240" w:lineRule="exact"/>
              <w:rPr>
                <w:szCs w:val="20"/>
              </w:rPr>
            </w:pPr>
            <w:r w:rsidRPr="004B321C">
              <w:rPr>
                <w:szCs w:val="20"/>
              </w:rPr>
              <w:t>T1+T</w:t>
            </w:r>
          </w:p>
        </w:tc>
        <w:tc>
          <w:tcPr>
            <w:tcW w:w="873" w:type="dxa"/>
          </w:tcPr>
          <w:p w:rsidR="004B321C" w:rsidRPr="004B321C" w:rsidRDefault="004B321C" w:rsidP="00070277">
            <w:pPr>
              <w:spacing w:line="240" w:lineRule="exact"/>
              <w:rPr>
                <w:szCs w:val="20"/>
              </w:rPr>
            </w:pPr>
            <w:r w:rsidRPr="004B321C">
              <w:rPr>
                <w:szCs w:val="20"/>
              </w:rPr>
              <w:t>2T</w:t>
            </w:r>
          </w:p>
        </w:tc>
        <w:tc>
          <w:tcPr>
            <w:tcW w:w="661" w:type="dxa"/>
          </w:tcPr>
          <w:p w:rsidR="004B321C" w:rsidRPr="004B321C" w:rsidRDefault="004B321C" w:rsidP="00070277">
            <w:pPr>
              <w:spacing w:line="240" w:lineRule="exact"/>
              <w:rPr>
                <w:szCs w:val="20"/>
              </w:rPr>
            </w:pPr>
            <w:r w:rsidRPr="004B321C">
              <w:rPr>
                <w:szCs w:val="20"/>
              </w:rPr>
              <w:t>2T</w:t>
            </w:r>
          </w:p>
        </w:tc>
        <w:tc>
          <w:tcPr>
            <w:tcW w:w="873" w:type="dxa"/>
          </w:tcPr>
          <w:p w:rsidR="004B321C" w:rsidRPr="004B321C" w:rsidRDefault="004B321C" w:rsidP="00070277">
            <w:pPr>
              <w:spacing w:line="240" w:lineRule="exact"/>
              <w:rPr>
                <w:szCs w:val="20"/>
              </w:rPr>
            </w:pPr>
            <w:r w:rsidRPr="004B321C">
              <w:rPr>
                <w:szCs w:val="20"/>
              </w:rPr>
              <w:t>T1+T</w:t>
            </w:r>
          </w:p>
        </w:tc>
        <w:tc>
          <w:tcPr>
            <w:tcW w:w="661" w:type="dxa"/>
          </w:tcPr>
          <w:p w:rsidR="004B321C" w:rsidRPr="004B321C" w:rsidRDefault="004B321C" w:rsidP="00070277">
            <w:pPr>
              <w:spacing w:line="240" w:lineRule="exact"/>
              <w:rPr>
                <w:szCs w:val="20"/>
              </w:rPr>
            </w:pPr>
            <w:r w:rsidRPr="004B321C">
              <w:rPr>
                <w:szCs w:val="20"/>
              </w:rPr>
              <w:t>2T</w:t>
            </w:r>
          </w:p>
        </w:tc>
        <w:tc>
          <w:tcPr>
            <w:tcW w:w="873" w:type="dxa"/>
          </w:tcPr>
          <w:p w:rsidR="004B321C" w:rsidRPr="004B321C" w:rsidRDefault="004B321C" w:rsidP="00070277">
            <w:pPr>
              <w:spacing w:line="240" w:lineRule="exact"/>
              <w:rPr>
                <w:szCs w:val="20"/>
              </w:rPr>
            </w:pPr>
            <w:r w:rsidRPr="004B321C">
              <w:rPr>
                <w:szCs w:val="20"/>
              </w:rPr>
              <w:t>2T</w:t>
            </w:r>
          </w:p>
        </w:tc>
        <w:tc>
          <w:tcPr>
            <w:tcW w:w="661" w:type="dxa"/>
          </w:tcPr>
          <w:p w:rsidR="004B321C" w:rsidRPr="004B321C" w:rsidRDefault="004B321C" w:rsidP="00070277">
            <w:pPr>
              <w:spacing w:line="240" w:lineRule="exact"/>
              <w:rPr>
                <w:szCs w:val="20"/>
              </w:rPr>
            </w:pPr>
            <w:r w:rsidRPr="004B321C">
              <w:rPr>
                <w:szCs w:val="20"/>
              </w:rPr>
              <w:t>2T</w:t>
            </w:r>
          </w:p>
        </w:tc>
        <w:tc>
          <w:tcPr>
            <w:tcW w:w="2367" w:type="dxa"/>
          </w:tcPr>
          <w:p w:rsidR="004B321C" w:rsidRPr="004B321C" w:rsidRDefault="004B321C" w:rsidP="00070277">
            <w:pPr>
              <w:spacing w:line="240" w:lineRule="exact"/>
              <w:rPr>
                <w:szCs w:val="20"/>
              </w:rPr>
            </w:pP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color w:val="FF0000"/>
                <w:szCs w:val="20"/>
              </w:rPr>
            </w:pPr>
            <w:r w:rsidRPr="0098388F">
              <w:rPr>
                <w:color w:val="FF0000"/>
                <w:szCs w:val="20"/>
              </w:rPr>
              <w:t>15</w:t>
            </w:r>
          </w:p>
        </w:tc>
        <w:tc>
          <w:tcPr>
            <w:tcW w:w="1175" w:type="dxa"/>
            <w:tcBorders>
              <w:left w:val="single" w:sz="18" w:space="0" w:color="000000" w:themeColor="text1"/>
            </w:tcBorders>
          </w:tcPr>
          <w:p w:rsidR="004B321C" w:rsidRPr="00810598" w:rsidRDefault="004B321C" w:rsidP="00070277">
            <w:pPr>
              <w:spacing w:line="240" w:lineRule="exact"/>
              <w:rPr>
                <w:color w:val="FF0000"/>
                <w:szCs w:val="20"/>
              </w:rPr>
            </w:pPr>
            <w:r w:rsidRPr="00810598">
              <w:rPr>
                <w:color w:val="FF0000"/>
                <w:szCs w:val="20"/>
              </w:rPr>
              <w:t>T1</w:t>
            </w:r>
          </w:p>
        </w:tc>
        <w:tc>
          <w:tcPr>
            <w:tcW w:w="873" w:type="dxa"/>
          </w:tcPr>
          <w:p w:rsidR="004B321C" w:rsidRPr="00810598" w:rsidRDefault="004B321C" w:rsidP="00070277">
            <w:pPr>
              <w:spacing w:line="240" w:lineRule="exact"/>
              <w:rPr>
                <w:color w:val="FF0000"/>
                <w:szCs w:val="20"/>
              </w:rPr>
            </w:pPr>
            <w:r w:rsidRPr="00810598">
              <w:rPr>
                <w:color w:val="FF0000"/>
                <w:szCs w:val="20"/>
              </w:rPr>
              <w:t>T</w:t>
            </w:r>
          </w:p>
        </w:tc>
        <w:tc>
          <w:tcPr>
            <w:tcW w:w="661" w:type="dxa"/>
          </w:tcPr>
          <w:p w:rsidR="004B321C" w:rsidRPr="00810598" w:rsidRDefault="004B321C" w:rsidP="00070277">
            <w:pPr>
              <w:spacing w:line="240" w:lineRule="exact"/>
              <w:rPr>
                <w:color w:val="FF0000"/>
                <w:szCs w:val="20"/>
              </w:rPr>
            </w:pPr>
            <w:r w:rsidRPr="00810598">
              <w:rPr>
                <w:color w:val="FF0000"/>
                <w:szCs w:val="20"/>
              </w:rPr>
              <w:t>T</w:t>
            </w:r>
          </w:p>
        </w:tc>
        <w:tc>
          <w:tcPr>
            <w:tcW w:w="873" w:type="dxa"/>
          </w:tcPr>
          <w:p w:rsidR="004B321C" w:rsidRPr="00810598" w:rsidRDefault="004B321C" w:rsidP="00070277">
            <w:pPr>
              <w:spacing w:line="240" w:lineRule="exact"/>
              <w:rPr>
                <w:color w:val="FF0000"/>
                <w:szCs w:val="20"/>
              </w:rPr>
            </w:pPr>
            <w:r w:rsidRPr="00810598">
              <w:rPr>
                <w:color w:val="FF0000"/>
                <w:szCs w:val="20"/>
              </w:rPr>
              <w:t>T</w:t>
            </w:r>
          </w:p>
        </w:tc>
        <w:tc>
          <w:tcPr>
            <w:tcW w:w="661" w:type="dxa"/>
          </w:tcPr>
          <w:p w:rsidR="004B321C" w:rsidRPr="00810598" w:rsidRDefault="004B321C" w:rsidP="00070277">
            <w:pPr>
              <w:spacing w:line="240" w:lineRule="exact"/>
              <w:rPr>
                <w:color w:val="FF0000"/>
                <w:szCs w:val="20"/>
              </w:rPr>
            </w:pPr>
            <w:r w:rsidRPr="00810598">
              <w:rPr>
                <w:color w:val="FF0000"/>
                <w:szCs w:val="20"/>
              </w:rPr>
              <w:t>T</w:t>
            </w:r>
          </w:p>
        </w:tc>
        <w:tc>
          <w:tcPr>
            <w:tcW w:w="873" w:type="dxa"/>
          </w:tcPr>
          <w:p w:rsidR="004B321C" w:rsidRPr="00810598" w:rsidRDefault="004B321C" w:rsidP="00070277">
            <w:pPr>
              <w:spacing w:line="240" w:lineRule="exact"/>
              <w:rPr>
                <w:color w:val="FF0000"/>
                <w:szCs w:val="20"/>
              </w:rPr>
            </w:pPr>
            <w:r w:rsidRPr="00810598">
              <w:rPr>
                <w:color w:val="FF0000"/>
                <w:szCs w:val="20"/>
              </w:rPr>
              <w:t>T</w:t>
            </w:r>
          </w:p>
        </w:tc>
        <w:tc>
          <w:tcPr>
            <w:tcW w:w="661" w:type="dxa"/>
          </w:tcPr>
          <w:p w:rsidR="004B321C" w:rsidRPr="00810598" w:rsidRDefault="004B321C" w:rsidP="00070277">
            <w:pPr>
              <w:spacing w:line="240" w:lineRule="exact"/>
              <w:rPr>
                <w:color w:val="FF0000"/>
                <w:szCs w:val="20"/>
              </w:rPr>
            </w:pPr>
            <w:r w:rsidRPr="00810598">
              <w:rPr>
                <w:color w:val="FF0000"/>
                <w:szCs w:val="20"/>
              </w:rPr>
              <w:t>T</w:t>
            </w:r>
          </w:p>
        </w:tc>
        <w:tc>
          <w:tcPr>
            <w:tcW w:w="2367" w:type="dxa"/>
          </w:tcPr>
          <w:p w:rsidR="00810598" w:rsidRDefault="00810598" w:rsidP="00D0360C">
            <w:pPr>
              <w:spacing w:line="240" w:lineRule="exact"/>
              <w:rPr>
                <w:color w:val="FF0000"/>
                <w:szCs w:val="20"/>
              </w:rPr>
            </w:pPr>
            <w:r>
              <w:rPr>
                <w:color w:val="FF0000"/>
                <w:szCs w:val="20"/>
              </w:rPr>
              <w:t>Reference numerology</w:t>
            </w:r>
          </w:p>
          <w:p w:rsidR="004B321C" w:rsidRPr="00810598" w:rsidRDefault="00D0360C" w:rsidP="00D0360C">
            <w:pPr>
              <w:spacing w:line="240" w:lineRule="exact"/>
              <w:rPr>
                <w:color w:val="FF0000"/>
                <w:szCs w:val="20"/>
              </w:rPr>
            </w:pPr>
            <w:r w:rsidRPr="00810598">
              <w:rPr>
                <w:color w:val="FF0000"/>
                <w:szCs w:val="20"/>
              </w:rPr>
              <w:t>T1</w:t>
            </w:r>
            <w:r w:rsidR="0098388F">
              <w:rPr>
                <w:color w:val="FF0000"/>
                <w:szCs w:val="20"/>
              </w:rPr>
              <w:t xml:space="preserve"> </w:t>
            </w:r>
            <w:r w:rsidRPr="00810598">
              <w:rPr>
                <w:color w:val="FF0000"/>
                <w:szCs w:val="20"/>
              </w:rPr>
              <w:t>=</w:t>
            </w:r>
            <w:r w:rsidR="0098388F">
              <w:rPr>
                <w:color w:val="FF0000"/>
                <w:szCs w:val="20"/>
              </w:rPr>
              <w:t xml:space="preserve"> </w:t>
            </w:r>
            <w:r w:rsidRPr="00810598">
              <w:rPr>
                <w:color w:val="FF0000"/>
                <w:szCs w:val="20"/>
              </w:rPr>
              <w:t>71.875</w:t>
            </w:r>
            <w:r w:rsidR="00810598" w:rsidRPr="00810598">
              <w:rPr>
                <w:color w:val="FF0000"/>
                <w:szCs w:val="20"/>
              </w:rPr>
              <w:t xml:space="preserve"> us</w:t>
            </w:r>
            <w:r w:rsidRPr="00810598">
              <w:rPr>
                <w:color w:val="FF0000"/>
                <w:szCs w:val="20"/>
              </w:rPr>
              <w:t>,</w:t>
            </w:r>
            <w:r w:rsidR="004B321C" w:rsidRPr="00810598">
              <w:rPr>
                <w:color w:val="FF0000"/>
                <w:szCs w:val="20"/>
              </w:rPr>
              <w:t xml:space="preserve"> T</w:t>
            </w:r>
            <w:r w:rsidR="0098388F">
              <w:rPr>
                <w:color w:val="FF0000"/>
                <w:szCs w:val="20"/>
              </w:rPr>
              <w:t xml:space="preserve"> </w:t>
            </w:r>
            <w:r w:rsidR="004B321C" w:rsidRPr="00810598">
              <w:rPr>
                <w:color w:val="FF0000"/>
                <w:szCs w:val="20"/>
              </w:rPr>
              <w:t>=</w:t>
            </w:r>
            <w:r w:rsidR="0098388F">
              <w:rPr>
                <w:color w:val="FF0000"/>
                <w:szCs w:val="20"/>
              </w:rPr>
              <w:t xml:space="preserve"> </w:t>
            </w:r>
            <w:r w:rsidR="004B321C" w:rsidRPr="00810598">
              <w:rPr>
                <w:color w:val="FF0000"/>
                <w:szCs w:val="20"/>
              </w:rPr>
              <w:t>71.354</w:t>
            </w:r>
            <w:r w:rsidR="0098388F">
              <w:rPr>
                <w:color w:val="FF0000"/>
                <w:szCs w:val="20"/>
              </w:rPr>
              <w:t xml:space="preserve"> </w:t>
            </w:r>
            <w:r w:rsidR="004B321C" w:rsidRPr="00810598">
              <w:rPr>
                <w:color w:val="FF0000"/>
                <w:szCs w:val="20"/>
              </w:rPr>
              <w:t>us</w:t>
            </w:r>
            <w:r w:rsidRPr="00810598">
              <w:rPr>
                <w:color w:val="FF0000"/>
                <w:szCs w:val="20"/>
              </w:rPr>
              <w:t xml:space="preserve"> </w:t>
            </w: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szCs w:val="20"/>
              </w:rPr>
            </w:pPr>
            <w:r w:rsidRPr="0098388F">
              <w:rPr>
                <w:szCs w:val="20"/>
              </w:rPr>
              <w:t>30</w:t>
            </w:r>
          </w:p>
        </w:tc>
        <w:tc>
          <w:tcPr>
            <w:tcW w:w="1175" w:type="dxa"/>
            <w:tcBorders>
              <w:left w:val="single" w:sz="18" w:space="0" w:color="000000" w:themeColor="text1"/>
            </w:tcBorders>
          </w:tcPr>
          <w:p w:rsidR="004B321C" w:rsidRPr="004B321C" w:rsidRDefault="004B321C" w:rsidP="00070277">
            <w:pPr>
              <w:spacing w:line="240" w:lineRule="exact"/>
              <w:rPr>
                <w:szCs w:val="20"/>
              </w:rPr>
            </w:pPr>
            <w:r>
              <w:rPr>
                <w:szCs w:val="20"/>
              </w:rPr>
              <w:t>T2</w:t>
            </w:r>
            <w:r w:rsidRPr="004B321C">
              <w:rPr>
                <w:szCs w:val="20"/>
              </w:rPr>
              <w:t>-T/2,T/2</w:t>
            </w:r>
          </w:p>
        </w:tc>
        <w:tc>
          <w:tcPr>
            <w:tcW w:w="873" w:type="dxa"/>
          </w:tcPr>
          <w:p w:rsidR="004B321C" w:rsidRPr="004B321C" w:rsidRDefault="004B321C" w:rsidP="00070277">
            <w:pPr>
              <w:spacing w:line="240" w:lineRule="exact"/>
              <w:rPr>
                <w:szCs w:val="20"/>
              </w:rPr>
            </w:pPr>
            <w:r w:rsidRPr="004B321C">
              <w:rPr>
                <w:szCs w:val="20"/>
              </w:rPr>
              <w:t>T/2</w:t>
            </w:r>
          </w:p>
        </w:tc>
        <w:tc>
          <w:tcPr>
            <w:tcW w:w="661" w:type="dxa"/>
          </w:tcPr>
          <w:p w:rsidR="004B321C" w:rsidRPr="004B321C" w:rsidRDefault="004B321C" w:rsidP="00070277">
            <w:pPr>
              <w:spacing w:line="240" w:lineRule="exact"/>
              <w:rPr>
                <w:szCs w:val="20"/>
              </w:rPr>
            </w:pPr>
            <w:r w:rsidRPr="004B321C">
              <w:rPr>
                <w:szCs w:val="20"/>
              </w:rPr>
              <w:t>T/2</w:t>
            </w:r>
          </w:p>
        </w:tc>
        <w:tc>
          <w:tcPr>
            <w:tcW w:w="873" w:type="dxa"/>
          </w:tcPr>
          <w:p w:rsidR="004B321C" w:rsidRPr="004B321C" w:rsidRDefault="004B321C" w:rsidP="00536B5C">
            <w:pPr>
              <w:spacing w:line="240" w:lineRule="exact"/>
              <w:rPr>
                <w:szCs w:val="20"/>
              </w:rPr>
            </w:pPr>
            <w:r w:rsidRPr="004B321C">
              <w:rPr>
                <w:szCs w:val="20"/>
              </w:rPr>
              <w:t>T/2</w:t>
            </w:r>
          </w:p>
        </w:tc>
        <w:tc>
          <w:tcPr>
            <w:tcW w:w="661" w:type="dxa"/>
          </w:tcPr>
          <w:p w:rsidR="004B321C" w:rsidRPr="004B321C" w:rsidRDefault="004B321C" w:rsidP="00070277">
            <w:pPr>
              <w:spacing w:line="240" w:lineRule="exact"/>
              <w:rPr>
                <w:szCs w:val="20"/>
              </w:rPr>
            </w:pPr>
            <w:r w:rsidRPr="004B321C">
              <w:rPr>
                <w:szCs w:val="20"/>
              </w:rPr>
              <w:t>T/2</w:t>
            </w:r>
          </w:p>
        </w:tc>
        <w:tc>
          <w:tcPr>
            <w:tcW w:w="873" w:type="dxa"/>
          </w:tcPr>
          <w:p w:rsidR="004B321C" w:rsidRPr="004B321C" w:rsidRDefault="004B321C" w:rsidP="00070277">
            <w:pPr>
              <w:spacing w:line="240" w:lineRule="exact"/>
              <w:rPr>
                <w:szCs w:val="20"/>
              </w:rPr>
            </w:pPr>
            <w:r w:rsidRPr="004B321C">
              <w:rPr>
                <w:szCs w:val="20"/>
              </w:rPr>
              <w:t>T/2</w:t>
            </w:r>
          </w:p>
        </w:tc>
        <w:tc>
          <w:tcPr>
            <w:tcW w:w="661" w:type="dxa"/>
          </w:tcPr>
          <w:p w:rsidR="004B321C" w:rsidRPr="004B321C" w:rsidRDefault="004B321C" w:rsidP="00070277">
            <w:pPr>
              <w:spacing w:line="240" w:lineRule="exact"/>
              <w:rPr>
                <w:szCs w:val="20"/>
              </w:rPr>
            </w:pPr>
            <w:r w:rsidRPr="004B321C">
              <w:rPr>
                <w:szCs w:val="20"/>
              </w:rPr>
              <w:t>T/2</w:t>
            </w:r>
          </w:p>
        </w:tc>
        <w:tc>
          <w:tcPr>
            <w:tcW w:w="2367" w:type="dxa"/>
          </w:tcPr>
          <w:p w:rsidR="004B321C" w:rsidRPr="004B321C" w:rsidRDefault="004B321C" w:rsidP="00070277">
            <w:pPr>
              <w:spacing w:line="240" w:lineRule="exact"/>
              <w:rPr>
                <w:szCs w:val="20"/>
              </w:rPr>
            </w:pPr>
            <w:r>
              <w:rPr>
                <w:szCs w:val="20"/>
              </w:rPr>
              <w:t>T2</w:t>
            </w:r>
            <w:r w:rsidR="005C250E">
              <w:rPr>
                <w:szCs w:val="20"/>
              </w:rPr>
              <w:t xml:space="preserve"> </w:t>
            </w:r>
            <w:r>
              <w:rPr>
                <w:szCs w:val="20"/>
              </w:rPr>
              <w:t>=</w:t>
            </w:r>
            <w:r w:rsidR="005C250E">
              <w:rPr>
                <w:szCs w:val="20"/>
              </w:rPr>
              <w:t xml:space="preserve"> </w:t>
            </w:r>
            <w:r>
              <w:rPr>
                <w:szCs w:val="20"/>
              </w:rPr>
              <w:t>T1</w:t>
            </w:r>
            <w:r w:rsidR="005C250E">
              <w:rPr>
                <w:szCs w:val="20"/>
              </w:rPr>
              <w:t xml:space="preserve"> </w:t>
            </w:r>
            <w:r>
              <w:rPr>
                <w:szCs w:val="20"/>
              </w:rPr>
              <w:t>-</w:t>
            </w:r>
            <w:r w:rsidR="005C250E">
              <w:rPr>
                <w:szCs w:val="20"/>
              </w:rPr>
              <w:t xml:space="preserve"> </w:t>
            </w:r>
            <w:r>
              <w:rPr>
                <w:szCs w:val="20"/>
              </w:rPr>
              <w:t>T/2</w:t>
            </w: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szCs w:val="20"/>
              </w:rPr>
            </w:pPr>
            <w:r w:rsidRPr="0098388F">
              <w:rPr>
                <w:szCs w:val="20"/>
              </w:rPr>
              <w:t>60</w:t>
            </w:r>
          </w:p>
        </w:tc>
        <w:tc>
          <w:tcPr>
            <w:tcW w:w="1175" w:type="dxa"/>
            <w:tcBorders>
              <w:left w:val="single" w:sz="18" w:space="0" w:color="000000" w:themeColor="text1"/>
            </w:tcBorders>
          </w:tcPr>
          <w:p w:rsidR="004B321C" w:rsidRPr="004B321C" w:rsidRDefault="004B321C" w:rsidP="00070277">
            <w:pPr>
              <w:spacing w:line="240" w:lineRule="exact"/>
              <w:rPr>
                <w:szCs w:val="20"/>
              </w:rPr>
            </w:pPr>
            <w:r w:rsidRPr="004B321C">
              <w:rPr>
                <w:szCs w:val="20"/>
              </w:rPr>
              <w:t>T3,T/4</w:t>
            </w:r>
          </w:p>
        </w:tc>
        <w:tc>
          <w:tcPr>
            <w:tcW w:w="873" w:type="dxa"/>
          </w:tcPr>
          <w:p w:rsidR="004B321C" w:rsidRPr="004B321C" w:rsidRDefault="004B321C" w:rsidP="00207C51">
            <w:pPr>
              <w:spacing w:line="240" w:lineRule="exact"/>
              <w:rPr>
                <w:szCs w:val="20"/>
              </w:rPr>
            </w:pPr>
            <w:r w:rsidRPr="004B321C">
              <w:rPr>
                <w:szCs w:val="20"/>
              </w:rPr>
              <w:t>T/4</w:t>
            </w:r>
          </w:p>
        </w:tc>
        <w:tc>
          <w:tcPr>
            <w:tcW w:w="661" w:type="dxa"/>
          </w:tcPr>
          <w:p w:rsidR="004B321C" w:rsidRPr="004B321C" w:rsidRDefault="004B321C" w:rsidP="00207C51">
            <w:pPr>
              <w:spacing w:line="240" w:lineRule="exact"/>
              <w:rPr>
                <w:szCs w:val="20"/>
              </w:rPr>
            </w:pPr>
            <w:r w:rsidRPr="004B321C">
              <w:rPr>
                <w:szCs w:val="20"/>
              </w:rPr>
              <w:t>T/4</w:t>
            </w:r>
          </w:p>
        </w:tc>
        <w:tc>
          <w:tcPr>
            <w:tcW w:w="873" w:type="dxa"/>
          </w:tcPr>
          <w:p w:rsidR="004B321C" w:rsidRPr="004B321C" w:rsidRDefault="004B321C" w:rsidP="00207C51">
            <w:pPr>
              <w:spacing w:line="240" w:lineRule="exact"/>
              <w:rPr>
                <w:szCs w:val="20"/>
              </w:rPr>
            </w:pPr>
            <w:r w:rsidRPr="004B321C">
              <w:rPr>
                <w:szCs w:val="20"/>
              </w:rPr>
              <w:t>T/4</w:t>
            </w:r>
          </w:p>
        </w:tc>
        <w:tc>
          <w:tcPr>
            <w:tcW w:w="661" w:type="dxa"/>
          </w:tcPr>
          <w:p w:rsidR="004B321C" w:rsidRPr="004B321C" w:rsidRDefault="004B321C" w:rsidP="00207C51">
            <w:pPr>
              <w:spacing w:line="240" w:lineRule="exact"/>
              <w:rPr>
                <w:szCs w:val="20"/>
              </w:rPr>
            </w:pPr>
            <w:r w:rsidRPr="004B321C">
              <w:rPr>
                <w:szCs w:val="20"/>
              </w:rPr>
              <w:t>T/4</w:t>
            </w:r>
          </w:p>
        </w:tc>
        <w:tc>
          <w:tcPr>
            <w:tcW w:w="873" w:type="dxa"/>
          </w:tcPr>
          <w:p w:rsidR="004B321C" w:rsidRPr="004B321C" w:rsidRDefault="004B321C" w:rsidP="00207C51">
            <w:pPr>
              <w:spacing w:line="240" w:lineRule="exact"/>
              <w:rPr>
                <w:szCs w:val="20"/>
              </w:rPr>
            </w:pPr>
            <w:r w:rsidRPr="004B321C">
              <w:rPr>
                <w:szCs w:val="20"/>
              </w:rPr>
              <w:t>T/4</w:t>
            </w:r>
          </w:p>
        </w:tc>
        <w:tc>
          <w:tcPr>
            <w:tcW w:w="661" w:type="dxa"/>
          </w:tcPr>
          <w:p w:rsidR="004B321C" w:rsidRPr="004B321C" w:rsidRDefault="004B321C" w:rsidP="00207C51">
            <w:pPr>
              <w:spacing w:line="240" w:lineRule="exact"/>
              <w:rPr>
                <w:szCs w:val="20"/>
              </w:rPr>
            </w:pPr>
            <w:r w:rsidRPr="004B321C">
              <w:rPr>
                <w:szCs w:val="20"/>
              </w:rPr>
              <w:t>T/4</w:t>
            </w:r>
          </w:p>
        </w:tc>
        <w:tc>
          <w:tcPr>
            <w:tcW w:w="2367" w:type="dxa"/>
          </w:tcPr>
          <w:p w:rsidR="004B321C" w:rsidRPr="004B321C" w:rsidRDefault="004B321C" w:rsidP="00207C51">
            <w:pPr>
              <w:spacing w:line="240" w:lineRule="exact"/>
              <w:rPr>
                <w:szCs w:val="20"/>
              </w:rPr>
            </w:pPr>
            <w:r>
              <w:rPr>
                <w:szCs w:val="20"/>
              </w:rPr>
              <w:t>T3</w:t>
            </w:r>
            <w:r w:rsidR="005C250E">
              <w:rPr>
                <w:szCs w:val="20"/>
              </w:rPr>
              <w:t xml:space="preserve"> </w:t>
            </w:r>
            <w:r>
              <w:rPr>
                <w:szCs w:val="20"/>
              </w:rPr>
              <w:t>=</w:t>
            </w:r>
            <w:r w:rsidR="005C250E">
              <w:rPr>
                <w:szCs w:val="20"/>
              </w:rPr>
              <w:t xml:space="preserve"> </w:t>
            </w:r>
            <w:r>
              <w:rPr>
                <w:szCs w:val="20"/>
              </w:rPr>
              <w:t>T2</w:t>
            </w:r>
            <w:r w:rsidR="005C250E">
              <w:rPr>
                <w:szCs w:val="20"/>
              </w:rPr>
              <w:t xml:space="preserve"> </w:t>
            </w:r>
            <w:r>
              <w:rPr>
                <w:szCs w:val="20"/>
              </w:rPr>
              <w:t>-</w:t>
            </w:r>
            <w:r w:rsidR="005C250E">
              <w:rPr>
                <w:szCs w:val="20"/>
              </w:rPr>
              <w:t xml:space="preserve"> </w:t>
            </w:r>
            <w:r>
              <w:rPr>
                <w:szCs w:val="20"/>
              </w:rPr>
              <w:t>T/4</w:t>
            </w: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szCs w:val="20"/>
              </w:rPr>
            </w:pPr>
            <w:r w:rsidRPr="0098388F">
              <w:rPr>
                <w:szCs w:val="20"/>
              </w:rPr>
              <w:t>120</w:t>
            </w:r>
          </w:p>
        </w:tc>
        <w:tc>
          <w:tcPr>
            <w:tcW w:w="1175" w:type="dxa"/>
            <w:tcBorders>
              <w:left w:val="single" w:sz="18" w:space="0" w:color="000000" w:themeColor="text1"/>
            </w:tcBorders>
          </w:tcPr>
          <w:p w:rsidR="004B321C" w:rsidRPr="004B321C" w:rsidRDefault="004B321C" w:rsidP="00070277">
            <w:pPr>
              <w:spacing w:line="240" w:lineRule="exact"/>
              <w:rPr>
                <w:szCs w:val="20"/>
              </w:rPr>
            </w:pPr>
            <w:r w:rsidRPr="004B321C">
              <w:rPr>
                <w:szCs w:val="20"/>
              </w:rPr>
              <w:t>T4,T/8</w:t>
            </w:r>
          </w:p>
        </w:tc>
        <w:tc>
          <w:tcPr>
            <w:tcW w:w="873" w:type="dxa"/>
          </w:tcPr>
          <w:p w:rsidR="004B321C" w:rsidRPr="004B321C" w:rsidRDefault="004B321C" w:rsidP="00207C51">
            <w:pPr>
              <w:spacing w:line="240" w:lineRule="exact"/>
              <w:rPr>
                <w:szCs w:val="20"/>
              </w:rPr>
            </w:pPr>
            <w:r w:rsidRPr="004B321C">
              <w:rPr>
                <w:szCs w:val="20"/>
              </w:rPr>
              <w:t>T/8</w:t>
            </w:r>
          </w:p>
        </w:tc>
        <w:tc>
          <w:tcPr>
            <w:tcW w:w="661" w:type="dxa"/>
          </w:tcPr>
          <w:p w:rsidR="004B321C" w:rsidRPr="004B321C" w:rsidRDefault="004B321C" w:rsidP="00207C51">
            <w:pPr>
              <w:spacing w:line="240" w:lineRule="exact"/>
              <w:rPr>
                <w:szCs w:val="20"/>
              </w:rPr>
            </w:pPr>
            <w:r w:rsidRPr="004B321C">
              <w:rPr>
                <w:szCs w:val="20"/>
              </w:rPr>
              <w:t>T/8</w:t>
            </w:r>
          </w:p>
        </w:tc>
        <w:tc>
          <w:tcPr>
            <w:tcW w:w="873" w:type="dxa"/>
          </w:tcPr>
          <w:p w:rsidR="004B321C" w:rsidRPr="004B321C" w:rsidRDefault="004B321C" w:rsidP="00207C51">
            <w:pPr>
              <w:spacing w:line="240" w:lineRule="exact"/>
              <w:rPr>
                <w:szCs w:val="20"/>
              </w:rPr>
            </w:pPr>
            <w:r w:rsidRPr="004B321C">
              <w:rPr>
                <w:szCs w:val="20"/>
              </w:rPr>
              <w:t>T/8</w:t>
            </w:r>
          </w:p>
        </w:tc>
        <w:tc>
          <w:tcPr>
            <w:tcW w:w="661" w:type="dxa"/>
          </w:tcPr>
          <w:p w:rsidR="004B321C" w:rsidRPr="004B321C" w:rsidRDefault="004B321C" w:rsidP="00207C51">
            <w:pPr>
              <w:spacing w:line="240" w:lineRule="exact"/>
              <w:rPr>
                <w:szCs w:val="20"/>
              </w:rPr>
            </w:pPr>
            <w:r w:rsidRPr="004B321C">
              <w:rPr>
                <w:szCs w:val="20"/>
              </w:rPr>
              <w:t>T/8</w:t>
            </w:r>
          </w:p>
        </w:tc>
        <w:tc>
          <w:tcPr>
            <w:tcW w:w="873" w:type="dxa"/>
          </w:tcPr>
          <w:p w:rsidR="004B321C" w:rsidRPr="004B321C" w:rsidRDefault="004B321C" w:rsidP="00207C51">
            <w:pPr>
              <w:spacing w:line="240" w:lineRule="exact"/>
              <w:rPr>
                <w:szCs w:val="20"/>
              </w:rPr>
            </w:pPr>
            <w:r w:rsidRPr="004B321C">
              <w:rPr>
                <w:szCs w:val="20"/>
              </w:rPr>
              <w:t>T/8</w:t>
            </w:r>
          </w:p>
        </w:tc>
        <w:tc>
          <w:tcPr>
            <w:tcW w:w="661" w:type="dxa"/>
          </w:tcPr>
          <w:p w:rsidR="004B321C" w:rsidRPr="004B321C" w:rsidRDefault="004B321C" w:rsidP="00207C51">
            <w:pPr>
              <w:spacing w:line="240" w:lineRule="exact"/>
              <w:rPr>
                <w:szCs w:val="20"/>
              </w:rPr>
            </w:pPr>
            <w:r w:rsidRPr="004B321C">
              <w:rPr>
                <w:szCs w:val="20"/>
              </w:rPr>
              <w:t>T/8</w:t>
            </w:r>
          </w:p>
        </w:tc>
        <w:tc>
          <w:tcPr>
            <w:tcW w:w="2367" w:type="dxa"/>
          </w:tcPr>
          <w:p w:rsidR="004B321C" w:rsidRPr="004B321C" w:rsidRDefault="004B321C" w:rsidP="00207C51">
            <w:pPr>
              <w:spacing w:line="240" w:lineRule="exact"/>
              <w:rPr>
                <w:szCs w:val="20"/>
              </w:rPr>
            </w:pPr>
            <w:r>
              <w:rPr>
                <w:szCs w:val="20"/>
              </w:rPr>
              <w:t>T4</w:t>
            </w:r>
            <w:r w:rsidR="005C250E">
              <w:rPr>
                <w:szCs w:val="20"/>
              </w:rPr>
              <w:t xml:space="preserve"> </w:t>
            </w:r>
            <w:r>
              <w:rPr>
                <w:szCs w:val="20"/>
              </w:rPr>
              <w:t>=</w:t>
            </w:r>
            <w:r w:rsidR="005C250E">
              <w:rPr>
                <w:szCs w:val="20"/>
              </w:rPr>
              <w:t xml:space="preserve"> </w:t>
            </w:r>
            <w:r>
              <w:rPr>
                <w:szCs w:val="20"/>
              </w:rPr>
              <w:t>T3</w:t>
            </w:r>
            <w:r w:rsidR="005C250E">
              <w:rPr>
                <w:szCs w:val="20"/>
              </w:rPr>
              <w:t xml:space="preserve"> </w:t>
            </w:r>
            <w:r>
              <w:rPr>
                <w:szCs w:val="20"/>
              </w:rPr>
              <w:t>-</w:t>
            </w:r>
            <w:r w:rsidR="005C250E">
              <w:rPr>
                <w:szCs w:val="20"/>
              </w:rPr>
              <w:t xml:space="preserve"> </w:t>
            </w:r>
            <w:r>
              <w:rPr>
                <w:szCs w:val="20"/>
              </w:rPr>
              <w:t>T/8</w:t>
            </w: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szCs w:val="20"/>
              </w:rPr>
            </w:pPr>
            <w:r w:rsidRPr="0098388F">
              <w:rPr>
                <w:szCs w:val="20"/>
              </w:rPr>
              <w:t>240</w:t>
            </w:r>
          </w:p>
        </w:tc>
        <w:tc>
          <w:tcPr>
            <w:tcW w:w="1175" w:type="dxa"/>
            <w:tcBorders>
              <w:left w:val="single" w:sz="18" w:space="0" w:color="000000" w:themeColor="text1"/>
            </w:tcBorders>
          </w:tcPr>
          <w:p w:rsidR="004B321C" w:rsidRPr="004B321C" w:rsidRDefault="004B321C" w:rsidP="00070277">
            <w:pPr>
              <w:spacing w:line="240" w:lineRule="exact"/>
              <w:rPr>
                <w:szCs w:val="20"/>
              </w:rPr>
            </w:pPr>
            <w:r w:rsidRPr="004B321C">
              <w:rPr>
                <w:szCs w:val="20"/>
              </w:rPr>
              <w:t>T5,T/16</w:t>
            </w:r>
          </w:p>
        </w:tc>
        <w:tc>
          <w:tcPr>
            <w:tcW w:w="873" w:type="dxa"/>
          </w:tcPr>
          <w:p w:rsidR="004B321C" w:rsidRPr="004B321C" w:rsidRDefault="004B321C" w:rsidP="00207C51">
            <w:pPr>
              <w:spacing w:line="240" w:lineRule="exact"/>
              <w:rPr>
                <w:szCs w:val="20"/>
              </w:rPr>
            </w:pPr>
            <w:r w:rsidRPr="004B321C">
              <w:rPr>
                <w:szCs w:val="20"/>
              </w:rPr>
              <w:t>T/16</w:t>
            </w:r>
          </w:p>
        </w:tc>
        <w:tc>
          <w:tcPr>
            <w:tcW w:w="661" w:type="dxa"/>
          </w:tcPr>
          <w:p w:rsidR="004B321C" w:rsidRPr="004B321C" w:rsidRDefault="004B321C" w:rsidP="00207C51">
            <w:pPr>
              <w:spacing w:line="240" w:lineRule="exact"/>
              <w:rPr>
                <w:szCs w:val="20"/>
              </w:rPr>
            </w:pPr>
            <w:r w:rsidRPr="004B321C">
              <w:rPr>
                <w:szCs w:val="20"/>
              </w:rPr>
              <w:t>T/16</w:t>
            </w:r>
          </w:p>
        </w:tc>
        <w:tc>
          <w:tcPr>
            <w:tcW w:w="873" w:type="dxa"/>
          </w:tcPr>
          <w:p w:rsidR="004B321C" w:rsidRPr="004B321C" w:rsidRDefault="004B321C" w:rsidP="00207C51">
            <w:pPr>
              <w:spacing w:line="240" w:lineRule="exact"/>
              <w:rPr>
                <w:szCs w:val="20"/>
              </w:rPr>
            </w:pPr>
            <w:r w:rsidRPr="004B321C">
              <w:rPr>
                <w:szCs w:val="20"/>
              </w:rPr>
              <w:t>T/16</w:t>
            </w:r>
          </w:p>
        </w:tc>
        <w:tc>
          <w:tcPr>
            <w:tcW w:w="661" w:type="dxa"/>
          </w:tcPr>
          <w:p w:rsidR="004B321C" w:rsidRPr="004B321C" w:rsidRDefault="004B321C" w:rsidP="00207C51">
            <w:pPr>
              <w:spacing w:line="240" w:lineRule="exact"/>
              <w:rPr>
                <w:szCs w:val="20"/>
              </w:rPr>
            </w:pPr>
            <w:r w:rsidRPr="004B321C">
              <w:rPr>
                <w:szCs w:val="20"/>
              </w:rPr>
              <w:t>T/16</w:t>
            </w:r>
          </w:p>
        </w:tc>
        <w:tc>
          <w:tcPr>
            <w:tcW w:w="873" w:type="dxa"/>
          </w:tcPr>
          <w:p w:rsidR="004B321C" w:rsidRPr="004B321C" w:rsidRDefault="004B321C" w:rsidP="00207C51">
            <w:pPr>
              <w:spacing w:line="240" w:lineRule="exact"/>
              <w:rPr>
                <w:szCs w:val="20"/>
              </w:rPr>
            </w:pPr>
            <w:r w:rsidRPr="004B321C">
              <w:rPr>
                <w:szCs w:val="20"/>
              </w:rPr>
              <w:t>T/16</w:t>
            </w:r>
          </w:p>
        </w:tc>
        <w:tc>
          <w:tcPr>
            <w:tcW w:w="661" w:type="dxa"/>
          </w:tcPr>
          <w:p w:rsidR="004B321C" w:rsidRPr="004B321C" w:rsidRDefault="004B321C" w:rsidP="00207C51">
            <w:pPr>
              <w:spacing w:line="240" w:lineRule="exact"/>
              <w:rPr>
                <w:szCs w:val="20"/>
              </w:rPr>
            </w:pPr>
            <w:r w:rsidRPr="004B321C">
              <w:rPr>
                <w:szCs w:val="20"/>
              </w:rPr>
              <w:t>T/16</w:t>
            </w:r>
          </w:p>
        </w:tc>
        <w:tc>
          <w:tcPr>
            <w:tcW w:w="2367" w:type="dxa"/>
          </w:tcPr>
          <w:p w:rsidR="004B321C" w:rsidRPr="004B321C" w:rsidRDefault="004B321C" w:rsidP="00207C51">
            <w:pPr>
              <w:spacing w:line="240" w:lineRule="exact"/>
              <w:rPr>
                <w:szCs w:val="20"/>
              </w:rPr>
            </w:pPr>
            <w:r>
              <w:rPr>
                <w:szCs w:val="20"/>
              </w:rPr>
              <w:t>T5</w:t>
            </w:r>
            <w:r w:rsidR="005C250E">
              <w:rPr>
                <w:szCs w:val="20"/>
              </w:rPr>
              <w:t xml:space="preserve"> </w:t>
            </w:r>
            <w:r>
              <w:rPr>
                <w:szCs w:val="20"/>
              </w:rPr>
              <w:t>=</w:t>
            </w:r>
            <w:r w:rsidR="005C250E">
              <w:rPr>
                <w:szCs w:val="20"/>
              </w:rPr>
              <w:t xml:space="preserve"> </w:t>
            </w:r>
            <w:r>
              <w:rPr>
                <w:szCs w:val="20"/>
              </w:rPr>
              <w:t>T4</w:t>
            </w:r>
            <w:r w:rsidR="005C250E">
              <w:rPr>
                <w:szCs w:val="20"/>
              </w:rPr>
              <w:t xml:space="preserve"> </w:t>
            </w:r>
            <w:r>
              <w:rPr>
                <w:szCs w:val="20"/>
              </w:rPr>
              <w:t>-</w:t>
            </w:r>
            <w:r w:rsidR="005C250E">
              <w:rPr>
                <w:szCs w:val="20"/>
              </w:rPr>
              <w:t xml:space="preserve"> </w:t>
            </w:r>
            <w:r>
              <w:rPr>
                <w:szCs w:val="20"/>
              </w:rPr>
              <w:t>T/16</w:t>
            </w:r>
          </w:p>
        </w:tc>
      </w:tr>
      <w:tr w:rsidR="004B321C" w:rsidTr="0098388F">
        <w:tc>
          <w:tcPr>
            <w:tcW w:w="1098" w:type="dxa"/>
            <w:tcBorders>
              <w:right w:val="single" w:sz="18" w:space="0" w:color="000000" w:themeColor="text1"/>
            </w:tcBorders>
          </w:tcPr>
          <w:p w:rsidR="004B321C" w:rsidRPr="0098388F" w:rsidRDefault="004B321C" w:rsidP="00070277">
            <w:pPr>
              <w:spacing w:line="240" w:lineRule="exact"/>
              <w:rPr>
                <w:szCs w:val="20"/>
              </w:rPr>
            </w:pPr>
            <w:r w:rsidRPr="0098388F">
              <w:rPr>
                <w:szCs w:val="20"/>
              </w:rPr>
              <w:t>480</w:t>
            </w:r>
          </w:p>
        </w:tc>
        <w:tc>
          <w:tcPr>
            <w:tcW w:w="1175" w:type="dxa"/>
            <w:tcBorders>
              <w:left w:val="single" w:sz="18" w:space="0" w:color="000000" w:themeColor="text1"/>
            </w:tcBorders>
          </w:tcPr>
          <w:p w:rsidR="004B321C" w:rsidRPr="004B321C" w:rsidRDefault="004B321C" w:rsidP="00070277">
            <w:pPr>
              <w:spacing w:line="240" w:lineRule="exact"/>
              <w:rPr>
                <w:szCs w:val="20"/>
              </w:rPr>
            </w:pPr>
            <w:r w:rsidRPr="004B321C">
              <w:rPr>
                <w:szCs w:val="20"/>
              </w:rPr>
              <w:t>T6,T/32</w:t>
            </w:r>
          </w:p>
        </w:tc>
        <w:tc>
          <w:tcPr>
            <w:tcW w:w="873" w:type="dxa"/>
          </w:tcPr>
          <w:p w:rsidR="004B321C" w:rsidRPr="004B321C" w:rsidRDefault="004B321C" w:rsidP="00207C51">
            <w:pPr>
              <w:spacing w:line="240" w:lineRule="exact"/>
              <w:rPr>
                <w:szCs w:val="20"/>
              </w:rPr>
            </w:pPr>
            <w:r w:rsidRPr="004B321C">
              <w:rPr>
                <w:szCs w:val="20"/>
              </w:rPr>
              <w:t>T/32</w:t>
            </w:r>
          </w:p>
        </w:tc>
        <w:tc>
          <w:tcPr>
            <w:tcW w:w="661" w:type="dxa"/>
          </w:tcPr>
          <w:p w:rsidR="004B321C" w:rsidRPr="004B321C" w:rsidRDefault="004B321C" w:rsidP="00207C51">
            <w:pPr>
              <w:spacing w:line="240" w:lineRule="exact"/>
              <w:rPr>
                <w:szCs w:val="20"/>
              </w:rPr>
            </w:pPr>
            <w:r w:rsidRPr="004B321C">
              <w:rPr>
                <w:szCs w:val="20"/>
              </w:rPr>
              <w:t>T/32</w:t>
            </w:r>
          </w:p>
        </w:tc>
        <w:tc>
          <w:tcPr>
            <w:tcW w:w="873" w:type="dxa"/>
          </w:tcPr>
          <w:p w:rsidR="004B321C" w:rsidRPr="004B321C" w:rsidRDefault="004B321C" w:rsidP="00207C51">
            <w:pPr>
              <w:spacing w:line="240" w:lineRule="exact"/>
              <w:rPr>
                <w:szCs w:val="20"/>
              </w:rPr>
            </w:pPr>
            <w:r w:rsidRPr="004B321C">
              <w:rPr>
                <w:szCs w:val="20"/>
              </w:rPr>
              <w:t>T/32</w:t>
            </w:r>
          </w:p>
        </w:tc>
        <w:tc>
          <w:tcPr>
            <w:tcW w:w="661" w:type="dxa"/>
          </w:tcPr>
          <w:p w:rsidR="004B321C" w:rsidRPr="004B321C" w:rsidRDefault="004B321C" w:rsidP="00207C51">
            <w:pPr>
              <w:spacing w:line="240" w:lineRule="exact"/>
              <w:rPr>
                <w:szCs w:val="20"/>
              </w:rPr>
            </w:pPr>
            <w:r w:rsidRPr="004B321C">
              <w:rPr>
                <w:szCs w:val="20"/>
              </w:rPr>
              <w:t>T/32</w:t>
            </w:r>
          </w:p>
        </w:tc>
        <w:tc>
          <w:tcPr>
            <w:tcW w:w="873" w:type="dxa"/>
          </w:tcPr>
          <w:p w:rsidR="004B321C" w:rsidRPr="004B321C" w:rsidRDefault="004B321C" w:rsidP="00207C51">
            <w:pPr>
              <w:spacing w:line="240" w:lineRule="exact"/>
              <w:rPr>
                <w:szCs w:val="20"/>
              </w:rPr>
            </w:pPr>
            <w:r w:rsidRPr="004B321C">
              <w:rPr>
                <w:szCs w:val="20"/>
              </w:rPr>
              <w:t>T/32</w:t>
            </w:r>
          </w:p>
        </w:tc>
        <w:tc>
          <w:tcPr>
            <w:tcW w:w="661" w:type="dxa"/>
          </w:tcPr>
          <w:p w:rsidR="004B321C" w:rsidRPr="004B321C" w:rsidRDefault="004B321C" w:rsidP="00207C51">
            <w:pPr>
              <w:spacing w:line="240" w:lineRule="exact"/>
              <w:rPr>
                <w:szCs w:val="20"/>
              </w:rPr>
            </w:pPr>
            <w:r w:rsidRPr="004B321C">
              <w:rPr>
                <w:szCs w:val="20"/>
              </w:rPr>
              <w:t>T/32</w:t>
            </w:r>
          </w:p>
        </w:tc>
        <w:tc>
          <w:tcPr>
            <w:tcW w:w="2367" w:type="dxa"/>
          </w:tcPr>
          <w:p w:rsidR="004B321C" w:rsidRPr="004B321C" w:rsidRDefault="004B321C" w:rsidP="00207C51">
            <w:pPr>
              <w:spacing w:line="240" w:lineRule="exact"/>
              <w:rPr>
                <w:szCs w:val="20"/>
              </w:rPr>
            </w:pPr>
            <w:r>
              <w:rPr>
                <w:szCs w:val="20"/>
              </w:rPr>
              <w:t>T6</w:t>
            </w:r>
            <w:r w:rsidR="005C250E">
              <w:rPr>
                <w:szCs w:val="20"/>
              </w:rPr>
              <w:t xml:space="preserve"> </w:t>
            </w:r>
            <w:r>
              <w:rPr>
                <w:szCs w:val="20"/>
              </w:rPr>
              <w:t>=</w:t>
            </w:r>
            <w:r w:rsidR="005C250E">
              <w:rPr>
                <w:szCs w:val="20"/>
              </w:rPr>
              <w:t xml:space="preserve"> </w:t>
            </w:r>
            <w:r>
              <w:rPr>
                <w:szCs w:val="20"/>
              </w:rPr>
              <w:t>T5</w:t>
            </w:r>
            <w:r w:rsidR="005C250E">
              <w:rPr>
                <w:szCs w:val="20"/>
              </w:rPr>
              <w:t xml:space="preserve"> </w:t>
            </w:r>
            <w:r>
              <w:rPr>
                <w:szCs w:val="20"/>
              </w:rPr>
              <w:t>-</w:t>
            </w:r>
            <w:r w:rsidR="000A21A8">
              <w:rPr>
                <w:szCs w:val="20"/>
              </w:rPr>
              <w:t xml:space="preserve"> </w:t>
            </w:r>
            <w:r>
              <w:rPr>
                <w:szCs w:val="20"/>
              </w:rPr>
              <w:t>T/32</w:t>
            </w:r>
          </w:p>
        </w:tc>
      </w:tr>
    </w:tbl>
    <w:p w:rsidR="00D0360C" w:rsidRPr="0098388F" w:rsidRDefault="00810598" w:rsidP="00810598">
      <w:pPr>
        <w:pStyle w:val="Caption"/>
        <w:jc w:val="center"/>
        <w:rPr>
          <w:b w:val="0"/>
          <w:sz w:val="30"/>
          <w:szCs w:val="30"/>
        </w:rPr>
      </w:pPr>
      <w:r w:rsidRPr="0098388F">
        <w:rPr>
          <w:b w:val="0"/>
        </w:rPr>
        <w:t xml:space="preserve">Table </w:t>
      </w:r>
      <w:r w:rsidR="0009335D" w:rsidRPr="0098388F">
        <w:rPr>
          <w:b w:val="0"/>
        </w:rPr>
        <w:fldChar w:fldCharType="begin"/>
      </w:r>
      <w:r w:rsidR="0009335D" w:rsidRPr="0098388F">
        <w:rPr>
          <w:b w:val="0"/>
        </w:rPr>
        <w:instrText xml:space="preserve"> SEQ Table \* ARABIC </w:instrText>
      </w:r>
      <w:r w:rsidR="0009335D" w:rsidRPr="0098388F">
        <w:rPr>
          <w:b w:val="0"/>
        </w:rPr>
        <w:fldChar w:fldCharType="separate"/>
      </w:r>
      <w:r w:rsidRPr="0098388F">
        <w:rPr>
          <w:b w:val="0"/>
          <w:noProof/>
        </w:rPr>
        <w:t>1</w:t>
      </w:r>
      <w:r w:rsidR="0009335D" w:rsidRPr="0098388F">
        <w:rPr>
          <w:b w:val="0"/>
        </w:rPr>
        <w:fldChar w:fldCharType="end"/>
      </w:r>
      <w:r w:rsidRPr="0098388F">
        <w:rPr>
          <w:b w:val="0"/>
        </w:rPr>
        <w:t xml:space="preserve"> – Symbol durations for the different SCS supported by NR, based on the 15</w:t>
      </w:r>
      <w:r w:rsidR="0098388F">
        <w:rPr>
          <w:b w:val="0"/>
        </w:rPr>
        <w:t xml:space="preserve"> </w:t>
      </w:r>
      <w:r w:rsidRPr="0098388F">
        <w:rPr>
          <w:b w:val="0"/>
        </w:rPr>
        <w:t>kH</w:t>
      </w:r>
      <w:r w:rsidR="0098388F">
        <w:rPr>
          <w:b w:val="0"/>
        </w:rPr>
        <w:t>z</w:t>
      </w:r>
      <w:r w:rsidRPr="0098388F">
        <w:rPr>
          <w:b w:val="0"/>
        </w:rPr>
        <w:t xml:space="preserve">/NCP reference numerology </w:t>
      </w:r>
    </w:p>
    <w:p w:rsidR="00D0360C" w:rsidRDefault="00D0360C" w:rsidP="00D0360C">
      <w:pPr>
        <w:rPr>
          <w:b/>
          <w:sz w:val="30"/>
          <w:szCs w:val="30"/>
        </w:rPr>
      </w:pPr>
    </w:p>
    <w:p w:rsidR="00D0360C" w:rsidRDefault="00D0360C" w:rsidP="00D0360C">
      <w:pPr>
        <w:rPr>
          <w:b/>
          <w:sz w:val="30"/>
          <w:szCs w:val="30"/>
        </w:rPr>
      </w:pPr>
    </w:p>
    <w:p w:rsidR="00D0360C" w:rsidRDefault="00D0360C" w:rsidP="00D0360C">
      <w:pPr>
        <w:rPr>
          <w:b/>
          <w:sz w:val="30"/>
          <w:szCs w:val="30"/>
        </w:rPr>
      </w:pPr>
    </w:p>
    <w:p w:rsidR="00897F2F" w:rsidRPr="00226D96" w:rsidRDefault="00897F2F" w:rsidP="00897F2F">
      <w:pPr>
        <w:numPr>
          <w:ilvl w:val="0"/>
          <w:numId w:val="1"/>
        </w:numPr>
        <w:ind w:left="357" w:hanging="357"/>
        <w:rPr>
          <w:b/>
          <w:sz w:val="30"/>
          <w:szCs w:val="30"/>
        </w:rPr>
      </w:pPr>
      <w:r>
        <w:rPr>
          <w:b/>
          <w:sz w:val="30"/>
          <w:szCs w:val="30"/>
        </w:rPr>
        <w:t>Summary</w:t>
      </w:r>
    </w:p>
    <w:p w:rsidR="00897F2F" w:rsidRDefault="00D0360C" w:rsidP="00897F2F">
      <w:pPr>
        <w:spacing w:line="240" w:lineRule="auto"/>
      </w:pPr>
      <w:r>
        <w:t>Following observations and proposals have been made:</w:t>
      </w:r>
    </w:p>
    <w:p w:rsidR="00D0360C" w:rsidRDefault="00D0360C" w:rsidP="00897F2F">
      <w:pPr>
        <w:spacing w:line="240" w:lineRule="auto"/>
      </w:pPr>
    </w:p>
    <w:p w:rsidR="00D0360C" w:rsidRPr="001F5B0C" w:rsidRDefault="00D0360C" w:rsidP="00D0360C">
      <w:pPr>
        <w:spacing w:line="240" w:lineRule="auto"/>
        <w:rPr>
          <w:i/>
        </w:rPr>
      </w:pPr>
      <w:r w:rsidRPr="001F5B0C">
        <w:rPr>
          <w:b/>
          <w:i/>
          <w:u w:val="single"/>
        </w:rPr>
        <w:t>Observation 1:</w:t>
      </w:r>
      <w:r>
        <w:rPr>
          <w:i/>
        </w:rPr>
        <w:t xml:space="preserve"> If LTE/NCP is used</w:t>
      </w:r>
      <w:r w:rsidRPr="001F5B0C">
        <w:rPr>
          <w:i/>
        </w:rPr>
        <w:t xml:space="preserve"> for SCS=15kHz and symbol level alignment across scaled numerologies is maintained, SCS from 60kHz or larger cannot be selected as a reference numerology, since the sub-frame length becomes ambiguous and is different from 1ms*2^(-m)</w:t>
      </w:r>
      <w:r>
        <w:rPr>
          <w:i/>
        </w:rPr>
        <w:t>.</w:t>
      </w:r>
    </w:p>
    <w:p w:rsidR="00D0360C" w:rsidRDefault="00D0360C" w:rsidP="00D0360C">
      <w:pPr>
        <w:spacing w:line="240" w:lineRule="auto"/>
        <w:rPr>
          <w:lang w:val="en-GB" w:eastAsia="en-US"/>
        </w:rPr>
      </w:pPr>
      <w:r w:rsidRPr="00CD478F">
        <w:rPr>
          <w:b/>
          <w:i/>
          <w:u w:val="single"/>
          <w:lang w:val="en-GB" w:eastAsia="en-US"/>
        </w:rPr>
        <w:t>Observation 2:</w:t>
      </w:r>
      <w:r w:rsidRPr="00CD478F">
        <w:rPr>
          <w:i/>
          <w:lang w:val="en-GB" w:eastAsia="en-US"/>
        </w:rPr>
        <w:t xml:space="preserve"> The symbol structure for a certain SCS depends on the chosen SCSref.</w:t>
      </w:r>
      <w:r>
        <w:rPr>
          <w:i/>
          <w:lang w:val="en-GB" w:eastAsia="en-US"/>
        </w:rPr>
        <w:t xml:space="preserve"> If N different values are possible for </w:t>
      </w:r>
      <w:r w:rsidRPr="00CD478F">
        <w:rPr>
          <w:i/>
          <w:lang w:val="en-GB" w:eastAsia="en-US"/>
        </w:rPr>
        <w:t>SCSref, then also N different symbol structures need to be defined</w:t>
      </w:r>
      <w:r>
        <w:rPr>
          <w:i/>
          <w:lang w:val="en-GB" w:eastAsia="en-US"/>
        </w:rPr>
        <w:t xml:space="preserve"> for each SCS</w:t>
      </w:r>
      <w:r>
        <w:rPr>
          <w:lang w:val="en-GB" w:eastAsia="en-US"/>
        </w:rPr>
        <w:t xml:space="preserve">.    </w:t>
      </w:r>
    </w:p>
    <w:p w:rsidR="003A13E4" w:rsidRDefault="003A13E4" w:rsidP="00D0360C">
      <w:pPr>
        <w:spacing w:line="240" w:lineRule="auto"/>
        <w:rPr>
          <w:b/>
          <w:i/>
          <w:u w:val="single"/>
          <w:lang w:val="en-GB" w:eastAsia="en-US"/>
        </w:rPr>
      </w:pPr>
    </w:p>
    <w:p w:rsidR="00D0360C" w:rsidRDefault="00D0360C" w:rsidP="00D0360C">
      <w:pPr>
        <w:spacing w:line="240" w:lineRule="auto"/>
        <w:rPr>
          <w:lang w:val="en-GB" w:eastAsia="en-US"/>
        </w:rPr>
      </w:pPr>
      <w:r>
        <w:rPr>
          <w:b/>
          <w:i/>
          <w:u w:val="single"/>
          <w:lang w:val="en-GB" w:eastAsia="en-US"/>
        </w:rPr>
        <w:t>Proposal 1</w:t>
      </w:r>
      <w:r w:rsidRPr="00CD478F">
        <w:rPr>
          <w:b/>
          <w:i/>
          <w:u w:val="single"/>
          <w:lang w:val="en-GB" w:eastAsia="en-US"/>
        </w:rPr>
        <w:t>:</w:t>
      </w:r>
      <w:r w:rsidRPr="00CD478F">
        <w:rPr>
          <w:i/>
          <w:lang w:val="en-GB" w:eastAsia="en-US"/>
        </w:rPr>
        <w:t xml:space="preserve"> </w:t>
      </w:r>
      <w:r>
        <w:rPr>
          <w:i/>
          <w:lang w:val="en-GB" w:eastAsia="en-US"/>
        </w:rPr>
        <w:t>NR should adopt a single numerology as reference numerology</w:t>
      </w:r>
    </w:p>
    <w:p w:rsidR="003A13E4" w:rsidRDefault="003A13E4" w:rsidP="00D0360C">
      <w:pPr>
        <w:spacing w:line="240" w:lineRule="auto"/>
        <w:rPr>
          <w:b/>
          <w:i/>
          <w:u w:val="single"/>
          <w:lang w:val="en-GB" w:eastAsia="en-US"/>
        </w:rPr>
      </w:pPr>
    </w:p>
    <w:p w:rsidR="00D0360C" w:rsidRDefault="00D0360C" w:rsidP="00D0360C">
      <w:pPr>
        <w:spacing w:line="240" w:lineRule="auto"/>
        <w:rPr>
          <w:lang w:val="en-GB" w:eastAsia="en-US"/>
        </w:rPr>
      </w:pPr>
      <w:r>
        <w:rPr>
          <w:b/>
          <w:i/>
          <w:u w:val="single"/>
          <w:lang w:val="en-GB" w:eastAsia="en-US"/>
        </w:rPr>
        <w:t>Proposal 2</w:t>
      </w:r>
      <w:r w:rsidRPr="00CD478F">
        <w:rPr>
          <w:b/>
          <w:i/>
          <w:u w:val="single"/>
          <w:lang w:val="en-GB" w:eastAsia="en-US"/>
        </w:rPr>
        <w:t>:</w:t>
      </w:r>
      <w:r w:rsidRPr="00CD478F">
        <w:rPr>
          <w:i/>
          <w:lang w:val="en-GB" w:eastAsia="en-US"/>
        </w:rPr>
        <w:t xml:space="preserve"> </w:t>
      </w:r>
      <w:r>
        <w:rPr>
          <w:i/>
          <w:lang w:val="en-GB" w:eastAsia="en-US"/>
        </w:rPr>
        <w:t xml:space="preserve">NR should adopt SCS = 15 kHz as reference sub-carrier spacing and shall employ the LTE/NCP symbol structure </w:t>
      </w:r>
    </w:p>
    <w:p w:rsidR="003A13E4" w:rsidRDefault="003A13E4" w:rsidP="00D0360C">
      <w:pPr>
        <w:spacing w:line="240" w:lineRule="auto"/>
        <w:rPr>
          <w:b/>
          <w:i/>
          <w:u w:val="single"/>
          <w:lang w:val="en-GB" w:eastAsia="en-US"/>
        </w:rPr>
      </w:pPr>
    </w:p>
    <w:p w:rsidR="00D0360C" w:rsidRDefault="00D0360C" w:rsidP="00D0360C">
      <w:pPr>
        <w:spacing w:line="240" w:lineRule="auto"/>
        <w:rPr>
          <w:i/>
          <w:lang w:val="en-GB" w:eastAsia="en-US"/>
        </w:rPr>
      </w:pPr>
      <w:r>
        <w:rPr>
          <w:b/>
          <w:i/>
          <w:u w:val="single"/>
          <w:lang w:val="en-GB" w:eastAsia="en-US"/>
        </w:rPr>
        <w:t>Proposal 3</w:t>
      </w:r>
      <w:r w:rsidRPr="00CD478F">
        <w:rPr>
          <w:b/>
          <w:i/>
          <w:u w:val="single"/>
          <w:lang w:val="en-GB" w:eastAsia="en-US"/>
        </w:rPr>
        <w:t>:</w:t>
      </w:r>
      <w:r w:rsidRPr="00CD478F">
        <w:rPr>
          <w:i/>
          <w:lang w:val="en-GB" w:eastAsia="en-US"/>
        </w:rPr>
        <w:t xml:space="preserve"> </w:t>
      </w:r>
      <w:r>
        <w:rPr>
          <w:i/>
          <w:lang w:val="en-GB" w:eastAsia="en-US"/>
        </w:rPr>
        <w:t>The symbol structure for SCS other than the SCSref shall be designed to maintain symbol level alignment across scaled numerologies within the same CP family, such that</w:t>
      </w:r>
    </w:p>
    <w:p w:rsidR="00D0360C" w:rsidRDefault="00D0360C" w:rsidP="00D0360C">
      <w:pPr>
        <w:pStyle w:val="ListParagraph"/>
        <w:numPr>
          <w:ilvl w:val="0"/>
          <w:numId w:val="40"/>
        </w:numPr>
        <w:spacing w:line="240" w:lineRule="auto"/>
        <w:ind w:firstLineChars="0"/>
        <w:rPr>
          <w:i/>
          <w:lang w:val="en-GB" w:eastAsia="en-US"/>
        </w:rPr>
      </w:pPr>
      <w:r>
        <w:rPr>
          <w:i/>
          <w:lang w:val="en-GB" w:eastAsia="en-US"/>
        </w:rPr>
        <w:t>Adopt NCP for SCSref = 15kHz</w:t>
      </w:r>
    </w:p>
    <w:p w:rsidR="00D0360C" w:rsidRDefault="00D0360C" w:rsidP="00D0360C">
      <w:pPr>
        <w:pStyle w:val="ListParagraph"/>
        <w:numPr>
          <w:ilvl w:val="0"/>
          <w:numId w:val="40"/>
        </w:numPr>
        <w:spacing w:line="240" w:lineRule="auto"/>
        <w:ind w:firstLineChars="0"/>
        <w:rPr>
          <w:i/>
          <w:lang w:val="en-GB" w:eastAsia="en-US"/>
        </w:rPr>
      </w:pPr>
      <w:r>
        <w:rPr>
          <w:i/>
          <w:lang w:val="en-GB" w:eastAsia="en-US"/>
        </w:rPr>
        <w:t>For SCS larger than SCSref</w:t>
      </w:r>
    </w:p>
    <w:p w:rsidR="00D0360C" w:rsidRDefault="00D0360C" w:rsidP="00D0360C">
      <w:pPr>
        <w:pStyle w:val="ListParagraph"/>
        <w:numPr>
          <w:ilvl w:val="1"/>
          <w:numId w:val="40"/>
        </w:numPr>
        <w:spacing w:line="240" w:lineRule="auto"/>
        <w:ind w:firstLineChars="0"/>
        <w:rPr>
          <w:i/>
          <w:lang w:val="en-GB" w:eastAsia="en-US"/>
        </w:rPr>
      </w:pPr>
      <w:r>
        <w:rPr>
          <w:i/>
          <w:lang w:val="en-GB" w:eastAsia="en-US"/>
        </w:rPr>
        <w:t>When going to the next larger SCS, split the “shorter” symbol duration “Ts_lowSCS” of the numerology with lower SCS into two symbols of equally long duration, Ts_highSCS=0.5Ts_lowSCS</w:t>
      </w:r>
    </w:p>
    <w:p w:rsidR="00D0360C" w:rsidRPr="00897F2F" w:rsidRDefault="00D0360C" w:rsidP="00D0360C">
      <w:pPr>
        <w:pStyle w:val="ListParagraph"/>
        <w:numPr>
          <w:ilvl w:val="1"/>
          <w:numId w:val="40"/>
        </w:numPr>
        <w:spacing w:line="240" w:lineRule="auto"/>
        <w:ind w:firstLineChars="0"/>
        <w:rPr>
          <w:i/>
          <w:lang w:val="en-GB" w:eastAsia="en-US"/>
        </w:rPr>
      </w:pPr>
      <w:r>
        <w:rPr>
          <w:i/>
          <w:lang w:val="en-GB" w:eastAsia="en-US"/>
        </w:rPr>
        <w:t xml:space="preserve">Split the “longer” symbol duration “Tl_lowSCS” of the numerology with the lower SCS into two symbols where the duration of the second one equals the splitted shorter symbol duration “Ts_highSCS” and the duration of the longer symbol becomes Tl_highSCS=Tl_lowSCS-Ts_highSCS    </w:t>
      </w:r>
    </w:p>
    <w:p w:rsidR="00D0360C" w:rsidRDefault="00D0360C" w:rsidP="00D0360C">
      <w:pPr>
        <w:spacing w:line="240" w:lineRule="auto"/>
        <w:rPr>
          <w:i/>
          <w:lang w:val="en-GB" w:eastAsia="en-US"/>
        </w:rPr>
      </w:pPr>
    </w:p>
    <w:p w:rsidR="00D0360C" w:rsidRPr="00D0360C" w:rsidRDefault="00D0360C" w:rsidP="00D0360C">
      <w:pPr>
        <w:pStyle w:val="ListParagraph"/>
        <w:numPr>
          <w:ilvl w:val="0"/>
          <w:numId w:val="39"/>
        </w:numPr>
        <w:spacing w:line="240" w:lineRule="auto"/>
        <w:ind w:firstLineChars="0"/>
        <w:rPr>
          <w:i/>
          <w:lang w:val="en-GB" w:eastAsia="en-US"/>
        </w:rPr>
      </w:pPr>
      <w:r>
        <w:rPr>
          <w:i/>
          <w:lang w:val="en-GB" w:eastAsia="en-US"/>
        </w:rPr>
        <w:t xml:space="preserve">For SCS smaller than SCSref, the symbol durations for the lower SCS are obtained by adding the durations of the two corresponding symbols of the higher SCS </w:t>
      </w:r>
    </w:p>
    <w:p w:rsidR="00D0360C" w:rsidRPr="00D0360C" w:rsidRDefault="00D0360C" w:rsidP="00897F2F">
      <w:pPr>
        <w:spacing w:line="240" w:lineRule="auto"/>
        <w:rPr>
          <w:lang w:val="en-GB"/>
        </w:rPr>
      </w:pPr>
    </w:p>
    <w:p w:rsidR="00A569A4" w:rsidRDefault="00A569A4" w:rsidP="00C44689">
      <w:pPr>
        <w:pStyle w:val="Caption"/>
        <w:rPr>
          <w:b w:val="0"/>
          <w:sz w:val="30"/>
          <w:szCs w:val="30"/>
        </w:rPr>
      </w:pPr>
      <w:r>
        <w:rPr>
          <w:sz w:val="30"/>
          <w:szCs w:val="30"/>
        </w:rPr>
        <w:t>References</w:t>
      </w:r>
    </w:p>
    <w:p w:rsidR="00391673" w:rsidRDefault="00C70778" w:rsidP="00A569A4">
      <w:pPr>
        <w:pStyle w:val="ListParagraph"/>
        <w:numPr>
          <w:ilvl w:val="0"/>
          <w:numId w:val="19"/>
        </w:numPr>
        <w:ind w:left="426" w:firstLineChars="0"/>
        <w:rPr>
          <w:iCs/>
          <w:szCs w:val="20"/>
        </w:rPr>
      </w:pPr>
      <w:bookmarkStart w:id="2" w:name="_Ref449620942"/>
      <w:r>
        <w:rPr>
          <w:iCs/>
          <w:szCs w:val="20"/>
        </w:rPr>
        <w:t xml:space="preserve">3GPP </w:t>
      </w:r>
      <w:r w:rsidR="00991963" w:rsidRPr="00FD6B97">
        <w:rPr>
          <w:iCs/>
          <w:szCs w:val="20"/>
        </w:rPr>
        <w:t>Chairman’s notes RAN1#8</w:t>
      </w:r>
      <w:bookmarkEnd w:id="2"/>
      <w:r w:rsidR="00AD5EB6">
        <w:rPr>
          <w:iCs/>
          <w:szCs w:val="20"/>
        </w:rPr>
        <w:t>6, 2016-08</w:t>
      </w:r>
    </w:p>
    <w:p w:rsidR="00284B7D" w:rsidRPr="00C44689" w:rsidRDefault="00C70778" w:rsidP="00A569A4">
      <w:pPr>
        <w:pStyle w:val="ListParagraph"/>
        <w:numPr>
          <w:ilvl w:val="0"/>
          <w:numId w:val="19"/>
        </w:numPr>
        <w:ind w:left="426" w:firstLineChars="0"/>
        <w:rPr>
          <w:iCs/>
          <w:szCs w:val="20"/>
        </w:rPr>
      </w:pPr>
      <w:r>
        <w:rPr>
          <w:iCs/>
          <w:szCs w:val="20"/>
        </w:rPr>
        <w:t xml:space="preserve">3GPP </w:t>
      </w:r>
      <w:r w:rsidR="00284B7D">
        <w:rPr>
          <w:iCs/>
          <w:szCs w:val="20"/>
        </w:rPr>
        <w:t>Chairman’s notes RAN1#85, 2016-05</w:t>
      </w:r>
    </w:p>
    <w:sectPr w:rsidR="00284B7D" w:rsidRPr="00C44689" w:rsidSect="0024567E">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9B9" w:rsidRDefault="000D19B9" w:rsidP="00FF0AAD">
      <w:r>
        <w:separator/>
      </w:r>
    </w:p>
  </w:endnote>
  <w:endnote w:type="continuationSeparator" w:id="0">
    <w:p w:rsidR="000D19B9" w:rsidRDefault="000D19B9"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09335D">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9B9" w:rsidRDefault="000D19B9" w:rsidP="00FF0AAD">
      <w:r>
        <w:separator/>
      </w:r>
    </w:p>
  </w:footnote>
  <w:footnote w:type="continuationSeparator" w:id="0">
    <w:p w:rsidR="000D19B9" w:rsidRDefault="000D19B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367D"/>
    <w:multiLevelType w:val="hybridMultilevel"/>
    <w:tmpl w:val="94EE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446B27"/>
    <w:multiLevelType w:val="hybridMultilevel"/>
    <w:tmpl w:val="797AC1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857716"/>
    <w:multiLevelType w:val="hybridMultilevel"/>
    <w:tmpl w:val="B1546944"/>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7">
    <w:nsid w:val="28DF39F4"/>
    <w:multiLevelType w:val="hybridMultilevel"/>
    <w:tmpl w:val="E59A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6D41A98"/>
    <w:multiLevelType w:val="hybridMultilevel"/>
    <w:tmpl w:val="F92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8644A9"/>
    <w:multiLevelType w:val="hybridMultilevel"/>
    <w:tmpl w:val="7340B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B00959"/>
    <w:multiLevelType w:val="hybridMultilevel"/>
    <w:tmpl w:val="82F20F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3D0F49"/>
    <w:multiLevelType w:val="hybridMultilevel"/>
    <w:tmpl w:val="08C2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AE7773"/>
    <w:multiLevelType w:val="hybridMultilevel"/>
    <w:tmpl w:val="800E18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E71481E"/>
    <w:multiLevelType w:val="hybridMultilevel"/>
    <w:tmpl w:val="D88037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5CA1619"/>
    <w:multiLevelType w:val="hybridMultilevel"/>
    <w:tmpl w:val="DB1417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52F28A9"/>
    <w:multiLevelType w:val="hybridMultilevel"/>
    <w:tmpl w:val="39A28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8BE2ABC"/>
    <w:multiLevelType w:val="hybridMultilevel"/>
    <w:tmpl w:val="34C0F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67142D1F"/>
    <w:multiLevelType w:val="hybridMultilevel"/>
    <w:tmpl w:val="811C7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3">
    <w:nsid w:val="6CE145B8"/>
    <w:multiLevelType w:val="hybridMultilevel"/>
    <w:tmpl w:val="D6F2A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8E5600"/>
    <w:multiLevelType w:val="hybridMultilevel"/>
    <w:tmpl w:val="00B0D3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43024B1"/>
    <w:multiLevelType w:val="hybridMultilevel"/>
    <w:tmpl w:val="A5868F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0"/>
  </w:num>
  <w:num w:numId="3">
    <w:abstractNumId w:val="31"/>
  </w:num>
  <w:num w:numId="4">
    <w:abstractNumId w:val="38"/>
  </w:num>
  <w:num w:numId="5">
    <w:abstractNumId w:val="9"/>
  </w:num>
  <w:num w:numId="6">
    <w:abstractNumId w:val="23"/>
  </w:num>
  <w:num w:numId="7">
    <w:abstractNumId w:val="15"/>
  </w:num>
  <w:num w:numId="8">
    <w:abstractNumId w:val="25"/>
  </w:num>
  <w:num w:numId="9">
    <w:abstractNumId w:val="39"/>
  </w:num>
  <w:num w:numId="10">
    <w:abstractNumId w:val="26"/>
  </w:num>
  <w:num w:numId="11">
    <w:abstractNumId w:val="24"/>
  </w:num>
  <w:num w:numId="12">
    <w:abstractNumId w:val="37"/>
  </w:num>
  <w:num w:numId="13">
    <w:abstractNumId w:val="21"/>
  </w:num>
  <w:num w:numId="14">
    <w:abstractNumId w:val="11"/>
  </w:num>
  <w:num w:numId="15">
    <w:abstractNumId w:val="4"/>
  </w:num>
  <w:num w:numId="16">
    <w:abstractNumId w:val="17"/>
  </w:num>
  <w:num w:numId="17">
    <w:abstractNumId w:val="36"/>
  </w:num>
  <w:num w:numId="18">
    <w:abstractNumId w:val="3"/>
  </w:num>
  <w:num w:numId="19">
    <w:abstractNumId w:val="1"/>
  </w:num>
  <w:num w:numId="20">
    <w:abstractNumId w:val="33"/>
  </w:num>
  <w:num w:numId="21">
    <w:abstractNumId w:val="27"/>
  </w:num>
  <w:num w:numId="22">
    <w:abstractNumId w:val="14"/>
  </w:num>
  <w:num w:numId="23">
    <w:abstractNumId w:val="7"/>
  </w:num>
  <w:num w:numId="24">
    <w:abstractNumId w:val="0"/>
  </w:num>
  <w:num w:numId="25">
    <w:abstractNumId w:val="18"/>
  </w:num>
  <w:num w:numId="26">
    <w:abstractNumId w:val="13"/>
  </w:num>
  <w:num w:numId="27">
    <w:abstractNumId w:val="5"/>
  </w:num>
  <w:num w:numId="28">
    <w:abstractNumId w:val="28"/>
  </w:num>
  <w:num w:numId="29">
    <w:abstractNumId w:val="6"/>
  </w:num>
  <w:num w:numId="30">
    <w:abstractNumId w:val="34"/>
  </w:num>
  <w:num w:numId="31">
    <w:abstractNumId w:val="12"/>
  </w:num>
  <w:num w:numId="32">
    <w:abstractNumId w:val="32"/>
  </w:num>
  <w:num w:numId="33">
    <w:abstractNumId w:val="2"/>
  </w:num>
  <w:num w:numId="34">
    <w:abstractNumId w:val="8"/>
  </w:num>
  <w:num w:numId="35">
    <w:abstractNumId w:val="20"/>
  </w:num>
  <w:num w:numId="36">
    <w:abstractNumId w:val="19"/>
  </w:num>
  <w:num w:numId="37">
    <w:abstractNumId w:val="30"/>
  </w:num>
  <w:num w:numId="38">
    <w:abstractNumId w:val="35"/>
  </w:num>
  <w:num w:numId="39">
    <w:abstractNumId w:val="16"/>
  </w:num>
  <w:num w:numId="40">
    <w:abstractNumId w:val="2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4848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696F"/>
    <w:rsid w:val="00027F39"/>
    <w:rsid w:val="000314BE"/>
    <w:rsid w:val="0003612C"/>
    <w:rsid w:val="00040AB3"/>
    <w:rsid w:val="000411C0"/>
    <w:rsid w:val="0004434E"/>
    <w:rsid w:val="00052635"/>
    <w:rsid w:val="00053328"/>
    <w:rsid w:val="00055C73"/>
    <w:rsid w:val="00060703"/>
    <w:rsid w:val="00060E49"/>
    <w:rsid w:val="000650EB"/>
    <w:rsid w:val="00065E37"/>
    <w:rsid w:val="0006799E"/>
    <w:rsid w:val="00070277"/>
    <w:rsid w:val="0007080B"/>
    <w:rsid w:val="00070EBD"/>
    <w:rsid w:val="0007169D"/>
    <w:rsid w:val="00072A71"/>
    <w:rsid w:val="0007415F"/>
    <w:rsid w:val="00075E59"/>
    <w:rsid w:val="00083F98"/>
    <w:rsid w:val="00086A29"/>
    <w:rsid w:val="00091B52"/>
    <w:rsid w:val="00092939"/>
    <w:rsid w:val="0009335D"/>
    <w:rsid w:val="00095947"/>
    <w:rsid w:val="000A21A8"/>
    <w:rsid w:val="000A27B9"/>
    <w:rsid w:val="000A2EBC"/>
    <w:rsid w:val="000A32E0"/>
    <w:rsid w:val="000B2582"/>
    <w:rsid w:val="000B7610"/>
    <w:rsid w:val="000C1E08"/>
    <w:rsid w:val="000D19B9"/>
    <w:rsid w:val="000D5FF3"/>
    <w:rsid w:val="000D65D7"/>
    <w:rsid w:val="000D793E"/>
    <w:rsid w:val="000E3FBD"/>
    <w:rsid w:val="0010212F"/>
    <w:rsid w:val="001072DE"/>
    <w:rsid w:val="00112AC8"/>
    <w:rsid w:val="00114D7C"/>
    <w:rsid w:val="00116121"/>
    <w:rsid w:val="00126145"/>
    <w:rsid w:val="00127D7C"/>
    <w:rsid w:val="001318B4"/>
    <w:rsid w:val="00136836"/>
    <w:rsid w:val="00140F02"/>
    <w:rsid w:val="00143E06"/>
    <w:rsid w:val="001442F6"/>
    <w:rsid w:val="00145121"/>
    <w:rsid w:val="0014740A"/>
    <w:rsid w:val="001475A2"/>
    <w:rsid w:val="001477A7"/>
    <w:rsid w:val="00151481"/>
    <w:rsid w:val="00161014"/>
    <w:rsid w:val="00164066"/>
    <w:rsid w:val="0016721B"/>
    <w:rsid w:val="00171139"/>
    <w:rsid w:val="001721E6"/>
    <w:rsid w:val="001742D5"/>
    <w:rsid w:val="00174436"/>
    <w:rsid w:val="001767E6"/>
    <w:rsid w:val="0018036E"/>
    <w:rsid w:val="00180466"/>
    <w:rsid w:val="001841A8"/>
    <w:rsid w:val="00185733"/>
    <w:rsid w:val="00190A8D"/>
    <w:rsid w:val="00194BDB"/>
    <w:rsid w:val="00196645"/>
    <w:rsid w:val="001A456D"/>
    <w:rsid w:val="001A5421"/>
    <w:rsid w:val="001B21A1"/>
    <w:rsid w:val="001B2CDE"/>
    <w:rsid w:val="001B48B3"/>
    <w:rsid w:val="001C05BA"/>
    <w:rsid w:val="001C06FA"/>
    <w:rsid w:val="001C3DF5"/>
    <w:rsid w:val="001D5F96"/>
    <w:rsid w:val="001D6048"/>
    <w:rsid w:val="001E0A05"/>
    <w:rsid w:val="001E6124"/>
    <w:rsid w:val="001F0617"/>
    <w:rsid w:val="001F5B0C"/>
    <w:rsid w:val="0020218A"/>
    <w:rsid w:val="0020686F"/>
    <w:rsid w:val="00217556"/>
    <w:rsid w:val="00220CE0"/>
    <w:rsid w:val="00221120"/>
    <w:rsid w:val="00224645"/>
    <w:rsid w:val="0022597F"/>
    <w:rsid w:val="00226D96"/>
    <w:rsid w:val="0022720E"/>
    <w:rsid w:val="00227FD4"/>
    <w:rsid w:val="00233288"/>
    <w:rsid w:val="002333B7"/>
    <w:rsid w:val="002363A9"/>
    <w:rsid w:val="0023658E"/>
    <w:rsid w:val="00244D42"/>
    <w:rsid w:val="0024567E"/>
    <w:rsid w:val="00247311"/>
    <w:rsid w:val="002519B7"/>
    <w:rsid w:val="00251E7C"/>
    <w:rsid w:val="002530C6"/>
    <w:rsid w:val="0025650E"/>
    <w:rsid w:val="00267558"/>
    <w:rsid w:val="0026790F"/>
    <w:rsid w:val="00272467"/>
    <w:rsid w:val="0027255D"/>
    <w:rsid w:val="00273A29"/>
    <w:rsid w:val="00274701"/>
    <w:rsid w:val="0027765B"/>
    <w:rsid w:val="00283F82"/>
    <w:rsid w:val="00284B7D"/>
    <w:rsid w:val="00285137"/>
    <w:rsid w:val="0029127B"/>
    <w:rsid w:val="002938A5"/>
    <w:rsid w:val="00295775"/>
    <w:rsid w:val="002960F4"/>
    <w:rsid w:val="002973B9"/>
    <w:rsid w:val="002973C9"/>
    <w:rsid w:val="002974D4"/>
    <w:rsid w:val="002A2FA8"/>
    <w:rsid w:val="002A3C50"/>
    <w:rsid w:val="002A3E5A"/>
    <w:rsid w:val="002A54A2"/>
    <w:rsid w:val="002A7F70"/>
    <w:rsid w:val="002B09BE"/>
    <w:rsid w:val="002B40F3"/>
    <w:rsid w:val="002B4D7C"/>
    <w:rsid w:val="002B66F7"/>
    <w:rsid w:val="002B6BAA"/>
    <w:rsid w:val="002C09CF"/>
    <w:rsid w:val="002C368B"/>
    <w:rsid w:val="002C370A"/>
    <w:rsid w:val="002C7B26"/>
    <w:rsid w:val="002D02D4"/>
    <w:rsid w:val="002D10A8"/>
    <w:rsid w:val="002D35FA"/>
    <w:rsid w:val="002D6B6C"/>
    <w:rsid w:val="002E4C97"/>
    <w:rsid w:val="002E794D"/>
    <w:rsid w:val="002F0126"/>
    <w:rsid w:val="002F2FF2"/>
    <w:rsid w:val="002F3759"/>
    <w:rsid w:val="002F5517"/>
    <w:rsid w:val="00310A97"/>
    <w:rsid w:val="003128D3"/>
    <w:rsid w:val="00312C1A"/>
    <w:rsid w:val="00312DD1"/>
    <w:rsid w:val="00313E5D"/>
    <w:rsid w:val="0031570F"/>
    <w:rsid w:val="003162A2"/>
    <w:rsid w:val="00320818"/>
    <w:rsid w:val="0033176D"/>
    <w:rsid w:val="00337150"/>
    <w:rsid w:val="00341B32"/>
    <w:rsid w:val="003432B4"/>
    <w:rsid w:val="00344287"/>
    <w:rsid w:val="00346CE0"/>
    <w:rsid w:val="003504B5"/>
    <w:rsid w:val="003533A7"/>
    <w:rsid w:val="00360683"/>
    <w:rsid w:val="003631E5"/>
    <w:rsid w:val="00373017"/>
    <w:rsid w:val="00377306"/>
    <w:rsid w:val="00391673"/>
    <w:rsid w:val="00392963"/>
    <w:rsid w:val="003946D4"/>
    <w:rsid w:val="003A13E4"/>
    <w:rsid w:val="003A2A06"/>
    <w:rsid w:val="003A3800"/>
    <w:rsid w:val="003A6500"/>
    <w:rsid w:val="003B3883"/>
    <w:rsid w:val="003B40ED"/>
    <w:rsid w:val="003B46C8"/>
    <w:rsid w:val="003B5CF4"/>
    <w:rsid w:val="003C361A"/>
    <w:rsid w:val="003C3674"/>
    <w:rsid w:val="003C3FCC"/>
    <w:rsid w:val="003C70DA"/>
    <w:rsid w:val="003D2D35"/>
    <w:rsid w:val="003D3730"/>
    <w:rsid w:val="003D4CBE"/>
    <w:rsid w:val="003F28BC"/>
    <w:rsid w:val="003F448B"/>
    <w:rsid w:val="003F546E"/>
    <w:rsid w:val="003F58F6"/>
    <w:rsid w:val="004000BE"/>
    <w:rsid w:val="00401162"/>
    <w:rsid w:val="004019E1"/>
    <w:rsid w:val="00401A8A"/>
    <w:rsid w:val="004043F0"/>
    <w:rsid w:val="0040477F"/>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5AD0"/>
    <w:rsid w:val="00441AA1"/>
    <w:rsid w:val="00446005"/>
    <w:rsid w:val="00446AE1"/>
    <w:rsid w:val="0046088D"/>
    <w:rsid w:val="00461C5A"/>
    <w:rsid w:val="0046454E"/>
    <w:rsid w:val="004656EE"/>
    <w:rsid w:val="00466A01"/>
    <w:rsid w:val="00477C38"/>
    <w:rsid w:val="0048006F"/>
    <w:rsid w:val="0048204D"/>
    <w:rsid w:val="00487887"/>
    <w:rsid w:val="0049275B"/>
    <w:rsid w:val="00493C58"/>
    <w:rsid w:val="00496761"/>
    <w:rsid w:val="00496C3B"/>
    <w:rsid w:val="004A0A1F"/>
    <w:rsid w:val="004B0201"/>
    <w:rsid w:val="004B321C"/>
    <w:rsid w:val="004B77E3"/>
    <w:rsid w:val="004C1005"/>
    <w:rsid w:val="004C145A"/>
    <w:rsid w:val="004C46E1"/>
    <w:rsid w:val="004C5861"/>
    <w:rsid w:val="004C63EE"/>
    <w:rsid w:val="004C6A8B"/>
    <w:rsid w:val="004D10DB"/>
    <w:rsid w:val="004D15BB"/>
    <w:rsid w:val="004D1EE6"/>
    <w:rsid w:val="004D28B9"/>
    <w:rsid w:val="004D6142"/>
    <w:rsid w:val="004E72AC"/>
    <w:rsid w:val="004E78E8"/>
    <w:rsid w:val="004F1E6B"/>
    <w:rsid w:val="005010C2"/>
    <w:rsid w:val="00501BD7"/>
    <w:rsid w:val="00503289"/>
    <w:rsid w:val="00504BCA"/>
    <w:rsid w:val="00506A83"/>
    <w:rsid w:val="00506DC9"/>
    <w:rsid w:val="0051029C"/>
    <w:rsid w:val="00515626"/>
    <w:rsid w:val="00521828"/>
    <w:rsid w:val="00522BE2"/>
    <w:rsid w:val="005253C8"/>
    <w:rsid w:val="005274F3"/>
    <w:rsid w:val="00530886"/>
    <w:rsid w:val="00532C95"/>
    <w:rsid w:val="00532D9C"/>
    <w:rsid w:val="005363C8"/>
    <w:rsid w:val="00536B5C"/>
    <w:rsid w:val="00546F7A"/>
    <w:rsid w:val="00555AFA"/>
    <w:rsid w:val="005573A0"/>
    <w:rsid w:val="00557A2B"/>
    <w:rsid w:val="00565697"/>
    <w:rsid w:val="00566C02"/>
    <w:rsid w:val="0057083E"/>
    <w:rsid w:val="00570FDA"/>
    <w:rsid w:val="00572D54"/>
    <w:rsid w:val="0057681B"/>
    <w:rsid w:val="00580ED6"/>
    <w:rsid w:val="00585079"/>
    <w:rsid w:val="00590621"/>
    <w:rsid w:val="0059566C"/>
    <w:rsid w:val="005A0289"/>
    <w:rsid w:val="005A22CF"/>
    <w:rsid w:val="005A41EA"/>
    <w:rsid w:val="005B000C"/>
    <w:rsid w:val="005B3EF1"/>
    <w:rsid w:val="005C15A0"/>
    <w:rsid w:val="005C250E"/>
    <w:rsid w:val="005D6743"/>
    <w:rsid w:val="005D680C"/>
    <w:rsid w:val="005E2AE9"/>
    <w:rsid w:val="005F0BCE"/>
    <w:rsid w:val="005F34F7"/>
    <w:rsid w:val="005F56A6"/>
    <w:rsid w:val="006012C6"/>
    <w:rsid w:val="00602802"/>
    <w:rsid w:val="0060538B"/>
    <w:rsid w:val="00612F9F"/>
    <w:rsid w:val="00613EFD"/>
    <w:rsid w:val="00617630"/>
    <w:rsid w:val="00620346"/>
    <w:rsid w:val="00620555"/>
    <w:rsid w:val="00624BB7"/>
    <w:rsid w:val="0062638D"/>
    <w:rsid w:val="0063642D"/>
    <w:rsid w:val="0064134B"/>
    <w:rsid w:val="00650B77"/>
    <w:rsid w:val="00656384"/>
    <w:rsid w:val="00657662"/>
    <w:rsid w:val="006653D4"/>
    <w:rsid w:val="00666E6D"/>
    <w:rsid w:val="00667F6E"/>
    <w:rsid w:val="00671904"/>
    <w:rsid w:val="006722CE"/>
    <w:rsid w:val="00676281"/>
    <w:rsid w:val="00677F9F"/>
    <w:rsid w:val="00681949"/>
    <w:rsid w:val="00690BB8"/>
    <w:rsid w:val="0069278C"/>
    <w:rsid w:val="00693A87"/>
    <w:rsid w:val="00696B73"/>
    <w:rsid w:val="006A185C"/>
    <w:rsid w:val="006A4230"/>
    <w:rsid w:val="006A42F6"/>
    <w:rsid w:val="006A5C3F"/>
    <w:rsid w:val="006A6E0F"/>
    <w:rsid w:val="006B48F1"/>
    <w:rsid w:val="006C2467"/>
    <w:rsid w:val="006C60A2"/>
    <w:rsid w:val="006C7454"/>
    <w:rsid w:val="006D4C4D"/>
    <w:rsid w:val="006D512F"/>
    <w:rsid w:val="006D52EC"/>
    <w:rsid w:val="006D7CA8"/>
    <w:rsid w:val="006E5253"/>
    <w:rsid w:val="006E6B9A"/>
    <w:rsid w:val="006F5508"/>
    <w:rsid w:val="00701EF9"/>
    <w:rsid w:val="007048C3"/>
    <w:rsid w:val="00712655"/>
    <w:rsid w:val="00723A10"/>
    <w:rsid w:val="00726156"/>
    <w:rsid w:val="00732383"/>
    <w:rsid w:val="00732E84"/>
    <w:rsid w:val="00733BDE"/>
    <w:rsid w:val="00737957"/>
    <w:rsid w:val="0074299C"/>
    <w:rsid w:val="007477F6"/>
    <w:rsid w:val="0075003C"/>
    <w:rsid w:val="00754C81"/>
    <w:rsid w:val="007561F9"/>
    <w:rsid w:val="00757C50"/>
    <w:rsid w:val="00760049"/>
    <w:rsid w:val="00760131"/>
    <w:rsid w:val="0076369E"/>
    <w:rsid w:val="007659E4"/>
    <w:rsid w:val="00765BB9"/>
    <w:rsid w:val="00766C46"/>
    <w:rsid w:val="00766FA3"/>
    <w:rsid w:val="00771468"/>
    <w:rsid w:val="00772D0C"/>
    <w:rsid w:val="00773E97"/>
    <w:rsid w:val="00784191"/>
    <w:rsid w:val="0078762A"/>
    <w:rsid w:val="007911DF"/>
    <w:rsid w:val="00791A5D"/>
    <w:rsid w:val="00792173"/>
    <w:rsid w:val="00793203"/>
    <w:rsid w:val="0079666E"/>
    <w:rsid w:val="0079669E"/>
    <w:rsid w:val="00796A2A"/>
    <w:rsid w:val="007A2A69"/>
    <w:rsid w:val="007A2D26"/>
    <w:rsid w:val="007A412D"/>
    <w:rsid w:val="007B059C"/>
    <w:rsid w:val="007B546D"/>
    <w:rsid w:val="007B7386"/>
    <w:rsid w:val="007C33E4"/>
    <w:rsid w:val="007D3894"/>
    <w:rsid w:val="007E04D4"/>
    <w:rsid w:val="007E267A"/>
    <w:rsid w:val="007E5CF8"/>
    <w:rsid w:val="007E771D"/>
    <w:rsid w:val="007F143F"/>
    <w:rsid w:val="007F3EF2"/>
    <w:rsid w:val="007F538E"/>
    <w:rsid w:val="008010A5"/>
    <w:rsid w:val="00801948"/>
    <w:rsid w:val="00804085"/>
    <w:rsid w:val="00804288"/>
    <w:rsid w:val="0080681C"/>
    <w:rsid w:val="00807778"/>
    <w:rsid w:val="00810598"/>
    <w:rsid w:val="00813CD3"/>
    <w:rsid w:val="0081518A"/>
    <w:rsid w:val="00815E75"/>
    <w:rsid w:val="00816F96"/>
    <w:rsid w:val="00823E65"/>
    <w:rsid w:val="008244E5"/>
    <w:rsid w:val="00824762"/>
    <w:rsid w:val="008339F9"/>
    <w:rsid w:val="00836840"/>
    <w:rsid w:val="00840AB6"/>
    <w:rsid w:val="00842222"/>
    <w:rsid w:val="008459AF"/>
    <w:rsid w:val="00846CBF"/>
    <w:rsid w:val="00846FAB"/>
    <w:rsid w:val="00852480"/>
    <w:rsid w:val="00853203"/>
    <w:rsid w:val="00853251"/>
    <w:rsid w:val="00856CC3"/>
    <w:rsid w:val="00870BF0"/>
    <w:rsid w:val="00870FE7"/>
    <w:rsid w:val="00872250"/>
    <w:rsid w:val="00872C28"/>
    <w:rsid w:val="00874050"/>
    <w:rsid w:val="00881A67"/>
    <w:rsid w:val="00886503"/>
    <w:rsid w:val="00893B8E"/>
    <w:rsid w:val="00897F2F"/>
    <w:rsid w:val="008A0730"/>
    <w:rsid w:val="008A1ED0"/>
    <w:rsid w:val="008A2594"/>
    <w:rsid w:val="008A34A6"/>
    <w:rsid w:val="008A4707"/>
    <w:rsid w:val="008A5F17"/>
    <w:rsid w:val="008C2ADD"/>
    <w:rsid w:val="008C4EB6"/>
    <w:rsid w:val="008D2554"/>
    <w:rsid w:val="008E27D5"/>
    <w:rsid w:val="0090352C"/>
    <w:rsid w:val="0090427E"/>
    <w:rsid w:val="0090516B"/>
    <w:rsid w:val="00915D34"/>
    <w:rsid w:val="00916155"/>
    <w:rsid w:val="00916A11"/>
    <w:rsid w:val="00921D45"/>
    <w:rsid w:val="00931C9D"/>
    <w:rsid w:val="00932248"/>
    <w:rsid w:val="00932BEF"/>
    <w:rsid w:val="00934221"/>
    <w:rsid w:val="0093734D"/>
    <w:rsid w:val="009402E9"/>
    <w:rsid w:val="009433CB"/>
    <w:rsid w:val="0095082C"/>
    <w:rsid w:val="0096003B"/>
    <w:rsid w:val="009625EF"/>
    <w:rsid w:val="009628AF"/>
    <w:rsid w:val="00971496"/>
    <w:rsid w:val="00971DDC"/>
    <w:rsid w:val="0097265A"/>
    <w:rsid w:val="00972F70"/>
    <w:rsid w:val="009745AB"/>
    <w:rsid w:val="0098388F"/>
    <w:rsid w:val="009854F3"/>
    <w:rsid w:val="009871A7"/>
    <w:rsid w:val="00991070"/>
    <w:rsid w:val="00991963"/>
    <w:rsid w:val="00992DCD"/>
    <w:rsid w:val="009B147D"/>
    <w:rsid w:val="009B2AA7"/>
    <w:rsid w:val="009B431C"/>
    <w:rsid w:val="009B5573"/>
    <w:rsid w:val="009C1507"/>
    <w:rsid w:val="009D03F9"/>
    <w:rsid w:val="009D1A30"/>
    <w:rsid w:val="009D2D92"/>
    <w:rsid w:val="009D4E27"/>
    <w:rsid w:val="009D7EE2"/>
    <w:rsid w:val="009E0835"/>
    <w:rsid w:val="009E27A5"/>
    <w:rsid w:val="009E2BBA"/>
    <w:rsid w:val="009E4BB0"/>
    <w:rsid w:val="009E748B"/>
    <w:rsid w:val="009F35E1"/>
    <w:rsid w:val="009F5202"/>
    <w:rsid w:val="009F6F2F"/>
    <w:rsid w:val="00A0363B"/>
    <w:rsid w:val="00A03B34"/>
    <w:rsid w:val="00A044DF"/>
    <w:rsid w:val="00A07D64"/>
    <w:rsid w:val="00A1697C"/>
    <w:rsid w:val="00A16D4F"/>
    <w:rsid w:val="00A22250"/>
    <w:rsid w:val="00A22F3F"/>
    <w:rsid w:val="00A237B2"/>
    <w:rsid w:val="00A24CCA"/>
    <w:rsid w:val="00A24F87"/>
    <w:rsid w:val="00A25CF2"/>
    <w:rsid w:val="00A279D4"/>
    <w:rsid w:val="00A27B2A"/>
    <w:rsid w:val="00A31718"/>
    <w:rsid w:val="00A34767"/>
    <w:rsid w:val="00A411EE"/>
    <w:rsid w:val="00A4219D"/>
    <w:rsid w:val="00A515D6"/>
    <w:rsid w:val="00A52561"/>
    <w:rsid w:val="00A52FC5"/>
    <w:rsid w:val="00A53FC5"/>
    <w:rsid w:val="00A540F3"/>
    <w:rsid w:val="00A54F01"/>
    <w:rsid w:val="00A55F27"/>
    <w:rsid w:val="00A569A4"/>
    <w:rsid w:val="00A57168"/>
    <w:rsid w:val="00A62B1A"/>
    <w:rsid w:val="00A71B67"/>
    <w:rsid w:val="00A71BD4"/>
    <w:rsid w:val="00A72B9C"/>
    <w:rsid w:val="00A76243"/>
    <w:rsid w:val="00A762D5"/>
    <w:rsid w:val="00A773F5"/>
    <w:rsid w:val="00A805A8"/>
    <w:rsid w:val="00A80B01"/>
    <w:rsid w:val="00A93646"/>
    <w:rsid w:val="00A945E2"/>
    <w:rsid w:val="00A95088"/>
    <w:rsid w:val="00A95E61"/>
    <w:rsid w:val="00A9638F"/>
    <w:rsid w:val="00AA2D50"/>
    <w:rsid w:val="00AA3CA4"/>
    <w:rsid w:val="00AB1474"/>
    <w:rsid w:val="00AB4EFA"/>
    <w:rsid w:val="00AC2BD8"/>
    <w:rsid w:val="00AC4276"/>
    <w:rsid w:val="00AC4AAA"/>
    <w:rsid w:val="00AC5A41"/>
    <w:rsid w:val="00AC7216"/>
    <w:rsid w:val="00AD0C4F"/>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7901"/>
    <w:rsid w:val="00B1029B"/>
    <w:rsid w:val="00B107DB"/>
    <w:rsid w:val="00B12666"/>
    <w:rsid w:val="00B139DE"/>
    <w:rsid w:val="00B22638"/>
    <w:rsid w:val="00B243F4"/>
    <w:rsid w:val="00B24CFC"/>
    <w:rsid w:val="00B26DD1"/>
    <w:rsid w:val="00B31627"/>
    <w:rsid w:val="00B32C30"/>
    <w:rsid w:val="00B35602"/>
    <w:rsid w:val="00B37427"/>
    <w:rsid w:val="00B46077"/>
    <w:rsid w:val="00B55FA9"/>
    <w:rsid w:val="00B56B1F"/>
    <w:rsid w:val="00B578C5"/>
    <w:rsid w:val="00B60DCF"/>
    <w:rsid w:val="00B72D05"/>
    <w:rsid w:val="00B76024"/>
    <w:rsid w:val="00B816F5"/>
    <w:rsid w:val="00B83E85"/>
    <w:rsid w:val="00B846EC"/>
    <w:rsid w:val="00B86BDA"/>
    <w:rsid w:val="00B87244"/>
    <w:rsid w:val="00B87640"/>
    <w:rsid w:val="00BA1C72"/>
    <w:rsid w:val="00BA48BD"/>
    <w:rsid w:val="00BB6344"/>
    <w:rsid w:val="00BC0F95"/>
    <w:rsid w:val="00BC2EC5"/>
    <w:rsid w:val="00BC7528"/>
    <w:rsid w:val="00BC7924"/>
    <w:rsid w:val="00BD1F36"/>
    <w:rsid w:val="00BD285A"/>
    <w:rsid w:val="00BD4AC8"/>
    <w:rsid w:val="00BE2E7D"/>
    <w:rsid w:val="00BF4E61"/>
    <w:rsid w:val="00C02F16"/>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66B5A"/>
    <w:rsid w:val="00C70778"/>
    <w:rsid w:val="00C7277F"/>
    <w:rsid w:val="00C81BB1"/>
    <w:rsid w:val="00C8562D"/>
    <w:rsid w:val="00C86B00"/>
    <w:rsid w:val="00C86B68"/>
    <w:rsid w:val="00C93EDD"/>
    <w:rsid w:val="00C94668"/>
    <w:rsid w:val="00C953EF"/>
    <w:rsid w:val="00C97311"/>
    <w:rsid w:val="00CA32E5"/>
    <w:rsid w:val="00CA4E35"/>
    <w:rsid w:val="00CA7B1E"/>
    <w:rsid w:val="00CC0088"/>
    <w:rsid w:val="00CC39FD"/>
    <w:rsid w:val="00CD3FBE"/>
    <w:rsid w:val="00CD478F"/>
    <w:rsid w:val="00CE1B6E"/>
    <w:rsid w:val="00CE4DE5"/>
    <w:rsid w:val="00CF27EA"/>
    <w:rsid w:val="00CF356A"/>
    <w:rsid w:val="00CF527B"/>
    <w:rsid w:val="00D00BD8"/>
    <w:rsid w:val="00D02F5A"/>
    <w:rsid w:val="00D0360C"/>
    <w:rsid w:val="00D04B88"/>
    <w:rsid w:val="00D12160"/>
    <w:rsid w:val="00D15C08"/>
    <w:rsid w:val="00D15E25"/>
    <w:rsid w:val="00D25CA2"/>
    <w:rsid w:val="00D26398"/>
    <w:rsid w:val="00D273EF"/>
    <w:rsid w:val="00D2780E"/>
    <w:rsid w:val="00D32A1B"/>
    <w:rsid w:val="00D3302E"/>
    <w:rsid w:val="00D45706"/>
    <w:rsid w:val="00D462B9"/>
    <w:rsid w:val="00D51AB5"/>
    <w:rsid w:val="00D5308D"/>
    <w:rsid w:val="00D53D01"/>
    <w:rsid w:val="00D56DBA"/>
    <w:rsid w:val="00D62003"/>
    <w:rsid w:val="00D673E0"/>
    <w:rsid w:val="00D70674"/>
    <w:rsid w:val="00D72F23"/>
    <w:rsid w:val="00D743AA"/>
    <w:rsid w:val="00D76E1B"/>
    <w:rsid w:val="00D8248D"/>
    <w:rsid w:val="00D82A53"/>
    <w:rsid w:val="00D83034"/>
    <w:rsid w:val="00D85273"/>
    <w:rsid w:val="00D876F7"/>
    <w:rsid w:val="00D9131C"/>
    <w:rsid w:val="00D93AC6"/>
    <w:rsid w:val="00D93B0C"/>
    <w:rsid w:val="00D96FEA"/>
    <w:rsid w:val="00DA12AB"/>
    <w:rsid w:val="00DA19C6"/>
    <w:rsid w:val="00DA5597"/>
    <w:rsid w:val="00DC254A"/>
    <w:rsid w:val="00DD34F8"/>
    <w:rsid w:val="00DD646B"/>
    <w:rsid w:val="00DD71A4"/>
    <w:rsid w:val="00DD785D"/>
    <w:rsid w:val="00DE0E7D"/>
    <w:rsid w:val="00DE31A3"/>
    <w:rsid w:val="00DF219B"/>
    <w:rsid w:val="00DF25FD"/>
    <w:rsid w:val="00DF65B2"/>
    <w:rsid w:val="00E0055C"/>
    <w:rsid w:val="00E00801"/>
    <w:rsid w:val="00E0278A"/>
    <w:rsid w:val="00E03A4D"/>
    <w:rsid w:val="00E051E3"/>
    <w:rsid w:val="00E05567"/>
    <w:rsid w:val="00E07960"/>
    <w:rsid w:val="00E10247"/>
    <w:rsid w:val="00E1495E"/>
    <w:rsid w:val="00E14F87"/>
    <w:rsid w:val="00E153F6"/>
    <w:rsid w:val="00E20171"/>
    <w:rsid w:val="00E20340"/>
    <w:rsid w:val="00E34CA4"/>
    <w:rsid w:val="00E35457"/>
    <w:rsid w:val="00E35B00"/>
    <w:rsid w:val="00E4164A"/>
    <w:rsid w:val="00E43842"/>
    <w:rsid w:val="00E4509B"/>
    <w:rsid w:val="00E4633B"/>
    <w:rsid w:val="00E47699"/>
    <w:rsid w:val="00E47AE4"/>
    <w:rsid w:val="00E511D6"/>
    <w:rsid w:val="00E52E3C"/>
    <w:rsid w:val="00E53CC2"/>
    <w:rsid w:val="00E569C1"/>
    <w:rsid w:val="00E57329"/>
    <w:rsid w:val="00E631F7"/>
    <w:rsid w:val="00E77CC4"/>
    <w:rsid w:val="00E80D8D"/>
    <w:rsid w:val="00E91BDE"/>
    <w:rsid w:val="00E943EE"/>
    <w:rsid w:val="00E95BF2"/>
    <w:rsid w:val="00EA5B9D"/>
    <w:rsid w:val="00EA622C"/>
    <w:rsid w:val="00EB0370"/>
    <w:rsid w:val="00EB434B"/>
    <w:rsid w:val="00EC162F"/>
    <w:rsid w:val="00EC363B"/>
    <w:rsid w:val="00ED2C69"/>
    <w:rsid w:val="00EE01E9"/>
    <w:rsid w:val="00EE5769"/>
    <w:rsid w:val="00EE6CB7"/>
    <w:rsid w:val="00F001B4"/>
    <w:rsid w:val="00F00FAE"/>
    <w:rsid w:val="00F01A21"/>
    <w:rsid w:val="00F15DDF"/>
    <w:rsid w:val="00F22144"/>
    <w:rsid w:val="00F313F6"/>
    <w:rsid w:val="00F40727"/>
    <w:rsid w:val="00F423D3"/>
    <w:rsid w:val="00F43013"/>
    <w:rsid w:val="00F57C13"/>
    <w:rsid w:val="00F610CA"/>
    <w:rsid w:val="00F7227E"/>
    <w:rsid w:val="00F8225E"/>
    <w:rsid w:val="00F86714"/>
    <w:rsid w:val="00F924D8"/>
    <w:rsid w:val="00FA10BA"/>
    <w:rsid w:val="00FA6853"/>
    <w:rsid w:val="00FB01B6"/>
    <w:rsid w:val="00FB1555"/>
    <w:rsid w:val="00FB412A"/>
    <w:rsid w:val="00FB7DA0"/>
    <w:rsid w:val="00FC4E76"/>
    <w:rsid w:val="00FC7B21"/>
    <w:rsid w:val="00FD6B97"/>
    <w:rsid w:val="00FE18BD"/>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848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divs>
    <w:div w:id="120167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A4F0-35EF-4859-B8E9-3C092574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Yifei Yuan</cp:lastModifiedBy>
  <cp:revision>11</cp:revision>
  <cp:lastPrinted>2016-09-18T08:46:00Z</cp:lastPrinted>
  <dcterms:created xsi:type="dcterms:W3CDTF">2016-09-30T07:30:00Z</dcterms:created>
  <dcterms:modified xsi:type="dcterms:W3CDTF">2016-09-30T16:47:00Z</dcterms:modified>
</cp:coreProperties>
</file>